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color w:val="000000" w:themeColor="text1"/>
          <w14:textFill>
            <w14:solidFill>
              <w14:schemeClr w14:val="tx1"/>
            </w14:solidFill>
          </w14:textFill>
        </w:rPr>
      </w:pPr>
    </w:p>
    <w:p>
      <w:pPr>
        <w:pStyle w:val="19"/>
        <w:ind w:firstLine="0" w:firstLineChars="0"/>
        <w:jc w:val="center"/>
        <w:rPr>
          <w:b/>
          <w:bCs/>
          <w:color w:val="000000" w:themeColor="text1"/>
          <w:sz w:val="52"/>
          <w:szCs w:val="52"/>
          <w14:textFill>
            <w14:solidFill>
              <w14:schemeClr w14:val="tx1"/>
            </w14:solidFill>
          </w14:textFill>
        </w:rPr>
      </w:pPr>
    </w:p>
    <w:p>
      <w:pPr>
        <w:pStyle w:val="19"/>
        <w:ind w:firstLine="0" w:firstLineChars="0"/>
        <w:jc w:val="center"/>
        <w:rPr>
          <w:b/>
          <w:bCs/>
          <w:color w:val="000000" w:themeColor="text1"/>
          <w:sz w:val="52"/>
          <w:szCs w:val="52"/>
          <w14:textFill>
            <w14:solidFill>
              <w14:schemeClr w14:val="tx1"/>
            </w14:solidFill>
          </w14:textFill>
        </w:rPr>
      </w:pPr>
    </w:p>
    <w:p>
      <w:pPr>
        <w:pStyle w:val="19"/>
        <w:ind w:firstLine="0" w:firstLineChars="0"/>
        <w:jc w:val="center"/>
        <w:rPr>
          <w:b/>
          <w:bCs/>
          <w:color w:val="000000" w:themeColor="text1"/>
          <w:sz w:val="52"/>
          <w:szCs w:val="52"/>
          <w14:textFill>
            <w14:solidFill>
              <w14:schemeClr w14:val="tx1"/>
            </w14:solidFill>
          </w14:textFill>
        </w:rPr>
      </w:pPr>
      <w:bookmarkStart w:id="18" w:name="_GoBack"/>
      <w:bookmarkEnd w:id="18"/>
    </w:p>
    <w:p>
      <w:pPr>
        <w:pStyle w:val="19"/>
        <w:ind w:firstLine="0" w:firstLineChars="0"/>
        <w:jc w:val="center"/>
        <w:rPr>
          <w:b/>
          <w:bCs/>
          <w:color w:val="000000" w:themeColor="text1"/>
          <w:sz w:val="36"/>
          <w:szCs w:val="44"/>
          <w14:textFill>
            <w14:solidFill>
              <w14:schemeClr w14:val="tx1"/>
            </w14:solidFill>
          </w14:textFill>
        </w:rPr>
      </w:pPr>
      <w:r>
        <w:rPr>
          <w:rFonts w:hint="eastAsia"/>
          <w:b/>
          <w:bCs/>
          <w:color w:val="000000" w:themeColor="text1"/>
          <w:sz w:val="52"/>
          <w:szCs w:val="52"/>
          <w14:textFill>
            <w14:solidFill>
              <w14:schemeClr w14:val="tx1"/>
            </w14:solidFill>
          </w14:textFill>
        </w:rPr>
        <w:t>浙江广厦建设职业技术大学</w:t>
      </w:r>
    </w:p>
    <w:p>
      <w:pPr>
        <w:rPr>
          <w:rFonts w:hint="eastAsia"/>
        </w:rPr>
      </w:pPr>
    </w:p>
    <w:p>
      <w:pPr>
        <w:pStyle w:val="19"/>
        <w:ind w:firstLine="0" w:firstLineChars="0"/>
        <w:jc w:val="center"/>
        <w:rPr>
          <w:b/>
          <w:bCs/>
          <w:color w:val="000000" w:themeColor="text1"/>
          <w:sz w:val="36"/>
          <w:szCs w:val="44"/>
          <w14:textFill>
            <w14:solidFill>
              <w14:schemeClr w14:val="tx1"/>
            </w14:solidFill>
          </w14:textFill>
        </w:rPr>
      </w:pPr>
      <w:r>
        <w:rPr>
          <w:rFonts w:hint="eastAsia"/>
          <w:b/>
          <w:bCs/>
          <w:color w:val="000000" w:themeColor="text1"/>
          <w:sz w:val="52"/>
          <w:szCs w:val="52"/>
          <w14:textFill>
            <w14:solidFill>
              <w14:schemeClr w14:val="tx1"/>
            </w14:solidFill>
          </w14:textFill>
        </w:rPr>
        <w:t>移动式垃圾压缩机</w:t>
      </w:r>
    </w:p>
    <w:p>
      <w:pPr>
        <w:pStyle w:val="16"/>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pPr>
        <w:spacing w:before="156"/>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lang w:eastAsia="zh-CN"/>
          <w14:textFill>
            <w14:solidFill>
              <w14:schemeClr w14:val="tx1"/>
            </w14:solidFill>
          </w14:textFill>
        </w:rPr>
        <w:t>竞争性谈判采购</w:t>
      </w:r>
      <w:r>
        <w:rPr>
          <w:rFonts w:ascii="宋体" w:hAnsi="宋体" w:cs="宋体"/>
          <w:b/>
          <w:color w:val="000000" w:themeColor="text1"/>
          <w:sz w:val="72"/>
          <w:szCs w:val="72"/>
          <w14:textFill>
            <w14:solidFill>
              <w14:schemeClr w14:val="tx1"/>
            </w14:solidFill>
          </w14:textFill>
        </w:rPr>
        <w:t>文件</w:t>
      </w:r>
    </w:p>
    <w:p>
      <w:pPr>
        <w:pStyle w:val="16"/>
        <w:rPr>
          <w:color w:val="000000" w:themeColor="text1"/>
          <w14:textFill>
            <w14:solidFill>
              <w14:schemeClr w14:val="tx1"/>
            </w14:solidFill>
          </w14:textFill>
        </w:rPr>
      </w:pPr>
    </w:p>
    <w:p>
      <w:pPr>
        <w:pStyle w:val="16"/>
        <w:ind w:left="0"/>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pPr>
        <w:pStyle w:val="35"/>
        <w:ind w:left="0" w:firstLine="0"/>
        <w:rPr>
          <w:color w:val="000000" w:themeColor="text1"/>
          <w14:textFill>
            <w14:solidFill>
              <w14:schemeClr w14:val="tx1"/>
            </w14:solidFill>
          </w14:textFill>
        </w:rPr>
      </w:pPr>
    </w:p>
    <w:p>
      <w:pPr>
        <w:pStyle w:val="35"/>
        <w:ind w:left="0" w:firstLine="0"/>
        <w:rPr>
          <w:color w:val="000000" w:themeColor="text1"/>
          <w14:textFill>
            <w14:solidFill>
              <w14:schemeClr w14:val="tx1"/>
            </w14:solidFill>
          </w14:textFill>
        </w:rPr>
      </w:pPr>
    </w:p>
    <w:p>
      <w:pPr>
        <w:pStyle w:val="35"/>
        <w:ind w:left="0" w:firstLine="0"/>
        <w:rPr>
          <w:color w:val="000000" w:themeColor="text1"/>
          <w14:textFill>
            <w14:solidFill>
              <w14:schemeClr w14:val="tx1"/>
            </w14:solidFill>
          </w14:textFill>
        </w:rPr>
      </w:pPr>
    </w:p>
    <w:p>
      <w:pPr>
        <w:pStyle w:val="44"/>
        <w:snapToGrid w:val="0"/>
        <w:spacing w:before="50" w:line="560" w:lineRule="exact"/>
        <w:ind w:firstLine="602" w:firstLineChars="200"/>
        <w:rPr>
          <w:rFonts w:cs="宋体"/>
          <w:b/>
          <w:bCs/>
          <w:color w:val="000000" w:themeColor="text1"/>
          <w:sz w:val="30"/>
          <w:szCs w:val="30"/>
          <w14:textFill>
            <w14:solidFill>
              <w14:schemeClr w14:val="tx1"/>
            </w14:solidFill>
          </w14:textFill>
        </w:rPr>
      </w:pPr>
      <w:r>
        <w:rPr>
          <w:rFonts w:cs="宋体"/>
          <w:b/>
          <w:bCs/>
          <w:color w:val="000000" w:themeColor="text1"/>
          <w:sz w:val="30"/>
          <w:szCs w:val="30"/>
          <w14:textFill>
            <w14:solidFill>
              <w14:schemeClr w14:val="tx1"/>
            </w14:solidFill>
          </w14:textFill>
        </w:rPr>
        <w:t>项目编号：</w:t>
      </w:r>
      <w:r>
        <w:rPr>
          <w:rFonts w:hint="eastAsia" w:cs="宋体"/>
          <w:b/>
          <w:bCs/>
          <w:color w:val="000000" w:themeColor="text1"/>
          <w:sz w:val="30"/>
          <w:szCs w:val="30"/>
          <w14:textFill>
            <w14:solidFill>
              <w14:schemeClr w14:val="tx1"/>
            </w14:solidFill>
          </w14:textFill>
        </w:rPr>
        <w:t>ZJGS2021-C014</w:t>
      </w:r>
    </w:p>
    <w:p>
      <w:pPr>
        <w:pStyle w:val="44"/>
        <w:snapToGrid w:val="0"/>
        <w:spacing w:before="50" w:line="560" w:lineRule="exact"/>
        <w:ind w:left="2107" w:leftChars="286" w:hanging="1506" w:hangingChars="500"/>
        <w:rPr>
          <w:rFonts w:cs="宋体"/>
          <w:b/>
          <w:bCs/>
          <w:color w:val="000000" w:themeColor="text1"/>
          <w:sz w:val="30"/>
          <w:szCs w:val="30"/>
          <w14:textFill>
            <w14:solidFill>
              <w14:schemeClr w14:val="tx1"/>
            </w14:solidFill>
          </w14:textFill>
        </w:rPr>
      </w:pPr>
      <w:r>
        <w:rPr>
          <w:rFonts w:cs="宋体"/>
          <w:b/>
          <w:bCs/>
          <w:color w:val="000000" w:themeColor="text1"/>
          <w:sz w:val="30"/>
          <w:szCs w:val="30"/>
          <w14:textFill>
            <w14:solidFill>
              <w14:schemeClr w14:val="tx1"/>
            </w14:solidFill>
          </w14:textFill>
        </w:rPr>
        <w:t>项目名称：</w:t>
      </w:r>
      <w:r>
        <w:rPr>
          <w:rFonts w:hint="eastAsia" w:cs="宋体"/>
          <w:b/>
          <w:bCs/>
          <w:color w:val="000000" w:themeColor="text1"/>
          <w:sz w:val="30"/>
          <w:szCs w:val="30"/>
          <w14:textFill>
            <w14:solidFill>
              <w14:schemeClr w14:val="tx1"/>
            </w14:solidFill>
          </w14:textFill>
        </w:rPr>
        <w:t>浙江广厦建设职业技术大学移动式垃圾压缩机</w:t>
      </w:r>
    </w:p>
    <w:p>
      <w:pPr>
        <w:pStyle w:val="44"/>
        <w:snapToGrid w:val="0"/>
        <w:spacing w:before="50" w:line="560" w:lineRule="exact"/>
        <w:ind w:firstLine="602" w:firstLineChars="200"/>
        <w:rPr>
          <w:rFonts w:cs="宋体"/>
          <w:b/>
          <w:bCs/>
          <w:color w:val="000000" w:themeColor="text1"/>
          <w:sz w:val="30"/>
          <w:szCs w:val="30"/>
          <w14:textFill>
            <w14:solidFill>
              <w14:schemeClr w14:val="tx1"/>
            </w14:solidFill>
          </w14:textFill>
        </w:rPr>
      </w:pPr>
      <w:r>
        <w:rPr>
          <w:rFonts w:cs="宋体"/>
          <w:b/>
          <w:bCs/>
          <w:color w:val="000000" w:themeColor="text1"/>
          <w:sz w:val="30"/>
          <w:szCs w:val="30"/>
          <w14:textFill>
            <w14:solidFill>
              <w14:schemeClr w14:val="tx1"/>
            </w14:solidFill>
          </w14:textFill>
        </w:rPr>
        <w:t>采购单位：浙江广厦建设职业技术大学</w:t>
      </w:r>
    </w:p>
    <w:p>
      <w:pPr>
        <w:pStyle w:val="44"/>
        <w:snapToGrid w:val="0"/>
        <w:spacing w:before="50" w:line="560" w:lineRule="exact"/>
        <w:jc w:val="center"/>
        <w:rPr>
          <w:rFonts w:cs="宋体"/>
          <w:b/>
          <w:bCs/>
          <w:color w:val="000000" w:themeColor="text1"/>
          <w:sz w:val="30"/>
          <w:szCs w:val="30"/>
          <w14:textFill>
            <w14:solidFill>
              <w14:schemeClr w14:val="tx1"/>
            </w14:solidFill>
          </w14:textFill>
        </w:rPr>
      </w:pPr>
    </w:p>
    <w:p>
      <w:pPr>
        <w:pStyle w:val="44"/>
        <w:snapToGrid w:val="0"/>
        <w:spacing w:before="50" w:line="560" w:lineRule="exact"/>
        <w:jc w:val="center"/>
        <w:rPr>
          <w:rFonts w:cs="宋体"/>
          <w:b/>
          <w:bCs/>
          <w:color w:val="000000" w:themeColor="text1"/>
          <w:sz w:val="30"/>
          <w:szCs w:val="30"/>
          <w14:textFill>
            <w14:solidFill>
              <w14:schemeClr w14:val="tx1"/>
            </w14:solidFill>
          </w14:textFill>
        </w:rPr>
      </w:pPr>
      <w:r>
        <w:rPr>
          <w:rFonts w:cs="宋体"/>
          <w:b/>
          <w:bCs/>
          <w:color w:val="000000" w:themeColor="text1"/>
          <w:sz w:val="30"/>
          <w:szCs w:val="30"/>
          <w14:textFill>
            <w14:solidFill>
              <w14:schemeClr w14:val="tx1"/>
            </w14:solidFill>
          </w14:textFill>
        </w:rPr>
        <w:t>2021年</w:t>
      </w:r>
      <w:r>
        <w:rPr>
          <w:rFonts w:hint="eastAsia" w:cs="宋体"/>
          <w:b/>
          <w:bCs/>
          <w:color w:val="000000" w:themeColor="text1"/>
          <w:sz w:val="30"/>
          <w:szCs w:val="30"/>
          <w14:textFill>
            <w14:solidFill>
              <w14:schemeClr w14:val="tx1"/>
            </w14:solidFill>
          </w14:textFill>
        </w:rPr>
        <w:t>9月25日</w:t>
      </w:r>
      <w:r>
        <w:rPr>
          <w:color w:val="000000" w:themeColor="text1"/>
          <w14:textFill>
            <w14:solidFill>
              <w14:schemeClr w14:val="tx1"/>
            </w14:solidFill>
          </w14:textFill>
        </w:rPr>
        <w:br w:type="page"/>
      </w:r>
    </w:p>
    <w:p>
      <w:pPr>
        <w:pStyle w:val="44"/>
        <w:snapToGrid w:val="0"/>
        <w:spacing w:line="360" w:lineRule="auto"/>
        <w:jc w:val="center"/>
        <w:rPr>
          <w:rFonts w:ascii="黑体" w:hAnsi="黑体" w:eastAsia="黑体" w:cs="宋体"/>
          <w:color w:val="000000" w:themeColor="text1"/>
          <w:sz w:val="44"/>
          <w:szCs w:val="48"/>
          <w:highlight w:val="red"/>
          <w14:textFill>
            <w14:solidFill>
              <w14:schemeClr w14:val="tx1"/>
            </w14:solidFill>
          </w14:textFill>
        </w:rPr>
      </w:pPr>
      <w:r>
        <w:rPr>
          <w:rFonts w:ascii="黑体" w:hAnsi="黑体" w:eastAsia="黑体" w:cs="宋体"/>
          <w:color w:val="000000" w:themeColor="text1"/>
          <w:sz w:val="44"/>
          <w:szCs w:val="48"/>
          <w14:textFill>
            <w14:solidFill>
              <w14:schemeClr w14:val="tx1"/>
            </w14:solidFill>
          </w14:textFill>
        </w:rPr>
        <w:t>目录</w:t>
      </w:r>
    </w:p>
    <w:p>
      <w:pPr>
        <w:pStyle w:val="14"/>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"1-2" \h \z \u</w:instrText>
      </w:r>
      <w:r>
        <w:rPr>
          <w:color w:val="000000" w:themeColor="text1"/>
          <w14:textFill>
            <w14:solidFill>
              <w14:schemeClr w14:val="tx1"/>
            </w14:solidFill>
          </w14:textFill>
        </w:rPr>
        <w:fldChar w:fldCharType="separate"/>
      </w:r>
    </w:p>
    <w:p>
      <w:pPr>
        <w:pStyle w:val="14"/>
        <w:tabs>
          <w:tab w:val="right" w:leader="dot" w:pos="9070"/>
        </w:tabs>
        <w:rPr>
          <w:color w:val="000000" w:themeColor="text1"/>
          <w14:textFill>
            <w14:solidFill>
              <w14:schemeClr w14:val="tx1"/>
            </w14:solidFill>
          </w14:textFill>
        </w:rPr>
      </w:pPr>
      <w:r>
        <w:fldChar w:fldCharType="begin"/>
      </w:r>
      <w:r>
        <w:instrText xml:space="preserve"> HYPERLINK \l "_Toc15458" </w:instrText>
      </w:r>
      <w:r>
        <w:fldChar w:fldCharType="separate"/>
      </w:r>
      <w:r>
        <w:rPr>
          <w:color w:val="000000" w:themeColor="text1"/>
          <w14:textFill>
            <w14:solidFill>
              <w14:schemeClr w14:val="tx1"/>
            </w14:solidFill>
          </w14:textFill>
        </w:rPr>
        <w:t xml:space="preserve">第一章  </w:t>
      </w:r>
      <w:r>
        <w:rPr>
          <w:rFonts w:hint="eastAsia" w:hAnsi="宋体"/>
          <w:bCs/>
          <w:szCs w:val="36"/>
        </w:rPr>
        <w:t>竞争性谈判公</w:t>
      </w:r>
      <w:r>
        <w:rPr>
          <w:rFonts w:hint="eastAsia" w:ascii="宋体" w:hAnsi="宋体" w:cs="宋体"/>
        </w:rPr>
        <w:t>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070"/>
        </w:tabs>
        <w:rPr>
          <w:color w:val="000000" w:themeColor="text1"/>
          <w14:textFill>
            <w14:solidFill>
              <w14:schemeClr w14:val="tx1"/>
            </w14:solidFill>
          </w14:textFill>
        </w:rPr>
      </w:pPr>
      <w:r>
        <w:fldChar w:fldCharType="begin"/>
      </w:r>
      <w:r>
        <w:instrText xml:space="preserve"> HYPERLINK \l "_Toc31368" </w:instrText>
      </w:r>
      <w:r>
        <w:fldChar w:fldCharType="separate"/>
      </w:r>
      <w:r>
        <w:rPr>
          <w:rFonts w:ascii="黑体" w:hAnsi="黑体" w:eastAsia="黑体"/>
          <w:color w:val="000000" w:themeColor="text1"/>
          <w:szCs w:val="30"/>
          <w14:textFill>
            <w14:solidFill>
              <w14:schemeClr w14:val="tx1"/>
            </w14:solidFill>
          </w14:textFill>
        </w:rPr>
        <w:t xml:space="preserve">第二章  </w:t>
      </w:r>
      <w:r>
        <w:rPr>
          <w:rFonts w:hint="eastAsia" w:ascii="宋体" w:hAnsi="宋体" w:cs="宋体"/>
        </w:rPr>
        <w:t>采购项目需求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_Toc31368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070"/>
        </w:tabs>
        <w:rPr>
          <w:color w:val="000000" w:themeColor="text1"/>
          <w14:textFill>
            <w14:solidFill>
              <w14:schemeClr w14:val="tx1"/>
            </w14:solidFill>
          </w14:textFill>
        </w:rPr>
      </w:pPr>
      <w:r>
        <w:fldChar w:fldCharType="begin"/>
      </w:r>
      <w:r>
        <w:instrText xml:space="preserve"> HYPERLINK \l "_Toc28550" </w:instrText>
      </w:r>
      <w:r>
        <w:fldChar w:fldCharType="separate"/>
      </w:r>
      <w:r>
        <w:rPr>
          <w:rFonts w:ascii="黑体" w:hAnsi="黑体" w:eastAsia="黑体"/>
          <w:color w:val="000000" w:themeColor="text1"/>
          <w:szCs w:val="30"/>
          <w14:textFill>
            <w14:solidFill>
              <w14:schemeClr w14:val="tx1"/>
            </w14:solidFill>
          </w14:textFill>
        </w:rPr>
        <w:t xml:space="preserve">第三章  </w:t>
      </w:r>
      <w:r>
        <w:rPr>
          <w:rFonts w:hint="eastAsia" w:hAnsi="宋体"/>
          <w:bCs/>
          <w:szCs w:val="36"/>
        </w:rPr>
        <w:t>竞争性谈判</w:t>
      </w:r>
      <w:r>
        <w:rPr>
          <w:rFonts w:hint="eastAsia" w:ascii="宋体" w:hAnsi="宋体" w:cs="宋体"/>
        </w:rPr>
        <w:t>须知</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9</w:t>
      </w:r>
      <w:r>
        <w:rPr>
          <w:rFonts w:hint="eastAsia"/>
          <w:color w:val="000000" w:themeColor="text1"/>
          <w14:textFill>
            <w14:solidFill>
              <w14:schemeClr w14:val="tx1"/>
            </w14:solidFill>
          </w14:textFill>
        </w:rPr>
        <w:fldChar w:fldCharType="end"/>
      </w:r>
    </w:p>
    <w:p>
      <w:pPr>
        <w:pStyle w:val="14"/>
        <w:tabs>
          <w:tab w:val="right" w:leader="dot" w:pos="9070"/>
        </w:tabs>
        <w:rPr>
          <w:color w:val="000000" w:themeColor="text1"/>
          <w14:textFill>
            <w14:solidFill>
              <w14:schemeClr w14:val="tx1"/>
            </w14:solidFill>
          </w14:textFill>
        </w:rPr>
      </w:pPr>
      <w:r>
        <w:fldChar w:fldCharType="begin"/>
      </w:r>
      <w:r>
        <w:instrText xml:space="preserve"> HYPERLINK \l "_Toc12269" </w:instrText>
      </w:r>
      <w:r>
        <w:fldChar w:fldCharType="separate"/>
      </w:r>
      <w:r>
        <w:rPr>
          <w:rFonts w:ascii="黑体" w:hAnsi="黑体" w:eastAsia="黑体"/>
          <w:color w:val="000000" w:themeColor="text1"/>
          <w:szCs w:val="30"/>
          <w14:textFill>
            <w14:solidFill>
              <w14:schemeClr w14:val="tx1"/>
            </w14:solidFill>
          </w14:textFill>
        </w:rPr>
        <w:t xml:space="preserve">第四章  </w:t>
      </w:r>
      <w:r>
        <w:rPr>
          <w:rFonts w:hint="eastAsia" w:hAnsi="宋体"/>
          <w:bCs/>
          <w:szCs w:val="36"/>
        </w:rPr>
        <w:t>竞争性谈判条款</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1</w:t>
      </w:r>
    </w:p>
    <w:p>
      <w:pPr>
        <w:pStyle w:val="14"/>
        <w:tabs>
          <w:tab w:val="right" w:leader="dot" w:pos="9070"/>
        </w:tabs>
      </w:pPr>
      <w:r>
        <w:fldChar w:fldCharType="begin"/>
      </w:r>
      <w:r>
        <w:instrText xml:space="preserve"> HYPERLINK \l "_Toc12269" </w:instrText>
      </w:r>
      <w:r>
        <w:fldChar w:fldCharType="separate"/>
      </w:r>
      <w:r>
        <w:rPr>
          <w:rFonts w:ascii="黑体" w:hAnsi="黑体" w:eastAsia="黑体"/>
          <w:color w:val="000000" w:themeColor="text1"/>
          <w:szCs w:val="30"/>
          <w14:textFill>
            <w14:solidFill>
              <w14:schemeClr w14:val="tx1"/>
            </w14:solidFill>
          </w14:textFill>
        </w:rPr>
        <w:t>第</w:t>
      </w:r>
      <w:r>
        <w:rPr>
          <w:rFonts w:hint="eastAsia" w:ascii="黑体" w:hAnsi="黑体" w:eastAsia="黑体"/>
          <w:color w:val="000000" w:themeColor="text1"/>
          <w:szCs w:val="30"/>
          <w14:textFill>
            <w14:solidFill>
              <w14:schemeClr w14:val="tx1"/>
            </w14:solidFill>
          </w14:textFill>
        </w:rPr>
        <w:t>五</w:t>
      </w:r>
      <w:r>
        <w:rPr>
          <w:rFonts w:ascii="黑体" w:hAnsi="黑体" w:eastAsia="黑体"/>
          <w:color w:val="000000" w:themeColor="text1"/>
          <w:szCs w:val="30"/>
          <w14:textFill>
            <w14:solidFill>
              <w14:schemeClr w14:val="tx1"/>
            </w14:solidFill>
          </w14:textFill>
        </w:rPr>
        <w:t xml:space="preserve">章  </w:t>
      </w:r>
      <w:r>
        <w:rPr>
          <w:rFonts w:hint="eastAsia" w:hAnsi="宋体" w:eastAsia="黑体"/>
          <w:bCs/>
          <w:szCs w:val="36"/>
        </w:rPr>
        <w:t>谈</w:t>
      </w:r>
      <w:r>
        <w:rPr>
          <w:rFonts w:hint="eastAsia" w:ascii="宋体" w:hAnsi="宋体"/>
          <w:bCs/>
          <w:szCs w:val="36"/>
        </w:rPr>
        <w:t>判方法和程序</w:t>
      </w:r>
      <w:r>
        <w:rPr>
          <w:rFonts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w:t>
      </w:r>
    </w:p>
    <w:p>
      <w:pPr>
        <w:pStyle w:val="14"/>
        <w:tabs>
          <w:tab w:val="right" w:leader="dot" w:pos="9070"/>
        </w:tabs>
        <w:rPr>
          <w:color w:val="000000" w:themeColor="text1"/>
          <w14:textFill>
            <w14:solidFill>
              <w14:schemeClr w14:val="tx1"/>
            </w14:solidFill>
          </w14:textFill>
        </w:rPr>
      </w:pPr>
      <w:r>
        <w:fldChar w:fldCharType="begin"/>
      </w:r>
      <w:r>
        <w:instrText xml:space="preserve"> HYPERLINK \l "_Toc18309" </w:instrText>
      </w:r>
      <w:r>
        <w:fldChar w:fldCharType="separate"/>
      </w:r>
      <w:r>
        <w:rPr>
          <w:rFonts w:ascii="宋体" w:hAnsi="宋体" w:cs="宋体"/>
          <w:bCs/>
          <w:color w:val="000000" w:themeColor="text1"/>
          <w:szCs w:val="32"/>
          <w14:textFill>
            <w14:solidFill>
              <w14:schemeClr w14:val="tx1"/>
            </w14:solidFill>
          </w14:textFill>
        </w:rPr>
        <w:t>第</w:t>
      </w:r>
      <w:r>
        <w:rPr>
          <w:rFonts w:hint="eastAsia" w:ascii="宋体" w:hAnsi="宋体" w:cs="宋体"/>
          <w:bCs/>
          <w:color w:val="000000" w:themeColor="text1"/>
          <w:szCs w:val="32"/>
          <w14:textFill>
            <w14:solidFill>
              <w14:schemeClr w14:val="tx1"/>
            </w14:solidFill>
          </w14:textFill>
        </w:rPr>
        <w:t>六</w:t>
      </w:r>
      <w:r>
        <w:rPr>
          <w:rFonts w:ascii="宋体" w:hAnsi="宋体" w:cs="宋体"/>
          <w:bCs/>
          <w:color w:val="000000" w:themeColor="text1"/>
          <w:szCs w:val="32"/>
          <w14:textFill>
            <w14:solidFill>
              <w14:schemeClr w14:val="tx1"/>
            </w14:solidFill>
          </w14:textFill>
        </w:rPr>
        <w:t>章  采购合同主要条款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_Toc18309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pPr>
      <w:r>
        <w:fldChar w:fldCharType="begin"/>
      </w:r>
      <w:r>
        <w:instrText xml:space="preserve"> HYPERLINK \l "_Toc4485" </w:instrText>
      </w:r>
      <w:r>
        <w:fldChar w:fldCharType="separate"/>
      </w:r>
      <w:r>
        <w:rPr>
          <w:rFonts w:ascii="宋体" w:hAnsi="宋体" w:cs="宋体"/>
          <w:color w:val="000000" w:themeColor="text1"/>
          <w14:textFill>
            <w14:solidFill>
              <w14:schemeClr w14:val="tx1"/>
            </w14:solidFill>
          </w14:textFill>
        </w:rPr>
        <w:t>采购合同（样本）</w:t>
      </w:r>
      <w:r>
        <w:rPr>
          <w:color w:val="000000" w:themeColor="text1"/>
          <w14:textFill>
            <w14:solidFill>
              <w14:schemeClr w14:val="tx1"/>
            </w14:solidFill>
          </w14:textFill>
        </w:rPr>
        <w:tab/>
      </w:r>
      <w:r>
        <w:rPr>
          <w:rFonts w:hint="eastAsia"/>
          <w:color w:val="FFFFFF" w:themeColor="background1"/>
          <w14:textFill>
            <w14:solidFill>
              <w14:schemeClr w14:val="bg1"/>
            </w14:solidFill>
          </w14:textFill>
        </w:rPr>
        <w:t>2</w:t>
      </w:r>
      <w:r>
        <w:rPr>
          <w:rFonts w:hint="eastAsia"/>
          <w:color w:val="FFFFFF" w:themeColor="background1"/>
          <w14:textFill>
            <w14:solidFill>
              <w14:schemeClr w14:val="bg1"/>
            </w14:solidFill>
          </w14:textFill>
        </w:rPr>
        <w:fldChar w:fldCharType="end"/>
      </w:r>
      <w:r>
        <w:rPr>
          <w:rFonts w:hint="eastAsia"/>
          <w:color w:val="000000" w:themeColor="text1"/>
          <w14:textFill>
            <w14:solidFill>
              <w14:schemeClr w14:val="tx1"/>
            </w14:solidFill>
          </w14:textFill>
        </w:rPr>
        <w:t>17</w:t>
      </w:r>
    </w:p>
    <w:p>
      <w:pPr>
        <w:pStyle w:val="14"/>
        <w:tabs>
          <w:tab w:val="right" w:leader="dot" w:pos="9070"/>
        </w:tabs>
        <w:rPr>
          <w:color w:val="000000" w:themeColor="text1"/>
          <w14:textFill>
            <w14:solidFill>
              <w14:schemeClr w14:val="tx1"/>
            </w14:solidFill>
          </w14:textFill>
        </w:rPr>
      </w:pPr>
      <w:r>
        <w:fldChar w:fldCharType="begin"/>
      </w:r>
      <w:r>
        <w:instrText xml:space="preserve"> HYPERLINK \l "_Toc28572" </w:instrText>
      </w:r>
      <w:r>
        <w:fldChar w:fldCharType="separate"/>
      </w:r>
      <w:r>
        <w:rPr>
          <w:rFonts w:hint="eastAsia" w:ascii="宋体" w:hAnsi="宋体" w:cs="宋体"/>
          <w:szCs w:val="32"/>
        </w:rPr>
        <w:t>第七章  谈判响应文件附件格式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_Toc28572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"_Toc5573" </w:instrText>
      </w:r>
      <w:r>
        <w:fldChar w:fldCharType="separate"/>
      </w:r>
      <w:r>
        <w:rPr>
          <w:rFonts w:ascii="宋体" w:hAnsi="宋体" w:cs="宋体"/>
          <w:color w:val="000000" w:themeColor="text1"/>
          <w14:textFill>
            <w14:solidFill>
              <w14:schemeClr w14:val="tx1"/>
            </w14:solidFill>
          </w14:textFill>
        </w:rPr>
        <w:t>附件一：投标声明书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22</w:t>
      </w:r>
    </w:p>
    <w:p>
      <w:pPr>
        <w:pStyle w:val="17"/>
        <w:tabs>
          <w:tab w:val="right" w:leader="dot" w:pos="9070"/>
        </w:tabs>
        <w:rPr>
          <w:rFonts w:ascii="宋体" w:hAnsi="宋体" w:cs="宋体"/>
          <w:color w:val="000000" w:themeColor="text1"/>
          <w14:textFill>
            <w14:solidFill>
              <w14:schemeClr w14:val="tx1"/>
            </w14:solidFill>
          </w14:textFill>
        </w:rPr>
      </w:pPr>
      <w:r>
        <w:fldChar w:fldCharType="begin"/>
      </w:r>
      <w:r>
        <w:instrText xml:space="preserve"> HYPERLINK \l "_Toc17386" </w:instrText>
      </w:r>
      <w:r>
        <w:fldChar w:fldCharType="separate"/>
      </w:r>
      <w:r>
        <w:rPr>
          <w:rFonts w:ascii="宋体" w:hAnsi="宋体" w:cs="宋体"/>
          <w:color w:val="000000" w:themeColor="text1"/>
          <w14:textFill>
            <w14:solidFill>
              <w14:schemeClr w14:val="tx1"/>
            </w14:solidFill>
          </w14:textFill>
        </w:rPr>
        <w:t>附件二：</w:t>
      </w:r>
      <w:r>
        <w:rPr>
          <w:rFonts w:hint="eastAsia" w:ascii="宋体" w:hAnsi="宋体" w:cs="宋体"/>
          <w:bCs/>
          <w:szCs w:val="32"/>
        </w:rPr>
        <w:t>初次报价表</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23</w:t>
      </w:r>
    </w:p>
    <w:p>
      <w:pPr>
        <w:pStyle w:val="17"/>
        <w:tabs>
          <w:tab w:val="right" w:leader="dot" w:pos="9070"/>
        </w:tabs>
        <w:rPr>
          <w:color w:val="000000" w:themeColor="text1"/>
          <w14:textFill>
            <w14:solidFill>
              <w14:schemeClr w14:val="tx1"/>
            </w14:solidFill>
          </w14:textFill>
        </w:rPr>
      </w:pPr>
      <w:r>
        <w:rPr>
          <w:rFonts w:hint="eastAsia" w:ascii="宋体" w:hAnsi="宋体" w:cs="宋体"/>
          <w:bCs/>
          <w:color w:val="000000" w:themeColor="text1"/>
          <w:szCs w:val="32"/>
          <w14:textFill>
            <w14:solidFill>
              <w14:schemeClr w14:val="tx1"/>
            </w14:solidFill>
          </w14:textFill>
        </w:rPr>
        <w:t>附件三：</w:t>
      </w:r>
      <w:r>
        <w:rPr>
          <w:rFonts w:ascii="宋体" w:hAnsi="宋体" w:cs="宋体"/>
          <w:color w:val="000000" w:themeColor="text1"/>
          <w14:textFill>
            <w14:solidFill>
              <w14:schemeClr w14:val="tx1"/>
            </w14:solidFill>
          </w14:textFill>
        </w:rPr>
        <w:t>法定代表人授权委托书</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4</w:t>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"_Toc3673" </w:instrText>
      </w:r>
      <w:r>
        <w:fldChar w:fldCharType="separate"/>
      </w:r>
      <w:r>
        <w:rPr>
          <w:rFonts w:ascii="宋体" w:hAnsi="宋体" w:cs="宋体"/>
          <w:color w:val="000000" w:themeColor="text1"/>
          <w14:textFill>
            <w14:solidFill>
              <w14:schemeClr w14:val="tx1"/>
            </w14:solidFill>
          </w14:textFill>
        </w:rPr>
        <w:t>附件</w:t>
      </w:r>
      <w:r>
        <w:rPr>
          <w:rFonts w:hint="eastAsia" w:ascii="宋体" w:hAnsi="宋体" w:cs="宋体"/>
          <w:color w:val="000000" w:themeColor="text1"/>
          <w14:textFill>
            <w14:solidFill>
              <w14:schemeClr w14:val="tx1"/>
            </w14:solidFill>
          </w14:textFill>
        </w:rPr>
        <w:t>四</w:t>
      </w:r>
      <w:r>
        <w:rPr>
          <w:rFonts w:ascii="宋体" w:hAnsi="宋体" w:cs="宋体"/>
          <w:color w:val="000000" w:themeColor="text1"/>
          <w14:textFill>
            <w14:solidFill>
              <w14:schemeClr w14:val="tx1"/>
            </w14:solidFill>
          </w14:textFill>
        </w:rPr>
        <w:t>：</w:t>
      </w:r>
      <w:r>
        <w:rPr>
          <w:rFonts w:ascii="宋体" w:hAnsi="宋体" w:cs="宋体"/>
          <w:bCs/>
          <w:color w:val="000000" w:themeColor="text1"/>
          <w14:textFill>
            <w14:solidFill>
              <w14:schemeClr w14:val="tx1"/>
            </w14:solidFill>
          </w14:textFill>
        </w:rPr>
        <w:t>诚信承诺书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25</w:t>
      </w:r>
    </w:p>
    <w:p>
      <w:pPr>
        <w:pStyle w:val="17"/>
        <w:tabs>
          <w:tab w:val="right" w:leader="dot" w:pos="9070"/>
        </w:tabs>
        <w:rPr>
          <w:color w:val="000000" w:themeColor="text1"/>
          <w:highlight w:val="red"/>
          <w14:textFill>
            <w14:solidFill>
              <w14:schemeClr w14:val="tx1"/>
            </w14:solidFill>
          </w14:textFill>
        </w:rPr>
      </w:pPr>
      <w:r>
        <w:fldChar w:fldCharType="begin"/>
      </w:r>
      <w:r>
        <w:instrText xml:space="preserve"> HYPERLINK \l "_Toc3673" </w:instrText>
      </w:r>
      <w:r>
        <w:fldChar w:fldCharType="separate"/>
      </w:r>
      <w:r>
        <w:rPr>
          <w:rFonts w:ascii="宋体" w:hAnsi="宋体" w:cs="宋体"/>
          <w:color w:val="000000" w:themeColor="text1"/>
          <w14:textFill>
            <w14:solidFill>
              <w14:schemeClr w14:val="tx1"/>
            </w14:solidFill>
          </w14:textFill>
        </w:rPr>
        <w:t>附件</w:t>
      </w:r>
      <w:r>
        <w:rPr>
          <w:rFonts w:hint="eastAsia" w:ascii="宋体" w:hAnsi="宋体" w:cs="宋体"/>
          <w:color w:val="000000" w:themeColor="text1"/>
          <w14:textFill>
            <w14:solidFill>
              <w14:schemeClr w14:val="tx1"/>
            </w14:solidFill>
          </w14:textFill>
        </w:rPr>
        <w:t>五</w:t>
      </w:r>
      <w:r>
        <w:rPr>
          <w:rFonts w:ascii="宋体" w:hAnsi="宋体" w:cs="宋体"/>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商务、技术响应表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26</w:t>
      </w:r>
    </w:p>
    <w:p>
      <w:pPr>
        <w:pStyle w:val="17"/>
        <w:tabs>
          <w:tab w:val="right" w:leader="dot" w:pos="9070"/>
        </w:tabs>
        <w:rPr>
          <w:color w:val="000000" w:themeColor="text1"/>
          <w14:textFill>
            <w14:solidFill>
              <w14:schemeClr w14:val="tx1"/>
            </w14:solidFill>
          </w14:textFill>
        </w:rPr>
      </w:pPr>
    </w:p>
    <w:p>
      <w:pPr>
        <w:pStyle w:val="17"/>
        <w:tabs>
          <w:tab w:val="right" w:leader="dot" w:pos="9070"/>
        </w:tabs>
        <w:rPr>
          <w:color w:val="000000" w:themeColor="text1"/>
          <w14:textFill>
            <w14:solidFill>
              <w14:schemeClr w14:val="tx1"/>
            </w14:solidFill>
          </w14:textFill>
        </w:rPr>
      </w:pPr>
    </w:p>
    <w:p>
      <w:pPr>
        <w:pStyle w:val="17"/>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end"/>
      </w:r>
    </w:p>
    <w:p>
      <w:pPr>
        <w:pStyle w:val="44"/>
        <w:snapToGrid w:val="0"/>
        <w:spacing w:line="240" w:lineRule="auto"/>
        <w:jc w:val="center"/>
        <w:rPr>
          <w:rFonts w:ascii="黑体" w:hAnsi="黑体" w:eastAsia="黑体"/>
          <w:color w:val="000000" w:themeColor="text1"/>
          <w14:textFill>
            <w14:solidFill>
              <w14:schemeClr w14:val="tx1"/>
            </w14:solidFill>
          </w14:textFill>
        </w:rPr>
      </w:pPr>
    </w:p>
    <w:p>
      <w:pPr>
        <w:pStyle w:val="44"/>
        <w:snapToGrid w:val="0"/>
        <w:spacing w:line="240" w:lineRule="auto"/>
        <w:jc w:val="center"/>
        <w:rPr>
          <w:rFonts w:ascii="黑体" w:hAnsi="黑体" w:eastAsia="黑体"/>
          <w:color w:val="000000" w:themeColor="text1"/>
          <w14:textFill>
            <w14:solidFill>
              <w14:schemeClr w14:val="tx1"/>
            </w14:solidFill>
          </w14:textFill>
        </w:rPr>
      </w:pPr>
    </w:p>
    <w:p>
      <w:pPr>
        <w:pStyle w:val="44"/>
        <w:snapToGrid w:val="0"/>
        <w:spacing w:line="240" w:lineRule="auto"/>
        <w:jc w:val="center"/>
        <w:rPr>
          <w:rFonts w:ascii="黑体" w:hAnsi="黑体" w:eastAsia="黑体"/>
          <w:color w:val="000000" w:themeColor="text1"/>
          <w14:textFill>
            <w14:solidFill>
              <w14:schemeClr w14:val="tx1"/>
            </w14:solidFill>
          </w14:textFill>
        </w:rPr>
      </w:pPr>
    </w:p>
    <w:p>
      <w:pPr>
        <w:pStyle w:val="44"/>
        <w:snapToGrid w:val="0"/>
        <w:spacing w:line="240" w:lineRule="auto"/>
        <w:jc w:val="center"/>
        <w:rPr>
          <w:rFonts w:ascii="黑体" w:hAnsi="黑体" w:eastAsia="黑体"/>
          <w:color w:val="000000" w:themeColor="text1"/>
          <w14:textFill>
            <w14:solidFill>
              <w14:schemeClr w14:val="tx1"/>
            </w14:solidFill>
          </w14:textFill>
        </w:rPr>
      </w:pPr>
    </w:p>
    <w:p>
      <w:pPr>
        <w:pStyle w:val="44"/>
        <w:snapToGrid w:val="0"/>
        <w:spacing w:line="240" w:lineRule="auto"/>
        <w:jc w:val="center"/>
        <w:rPr>
          <w:rFonts w:ascii="黑体" w:hAnsi="黑体" w:eastAsia="黑体"/>
          <w:color w:val="000000" w:themeColor="text1"/>
          <w14:textFill>
            <w14:solidFill>
              <w14:schemeClr w14:val="tx1"/>
            </w14:solidFill>
          </w14:textFill>
        </w:rPr>
      </w:pPr>
    </w:p>
    <w:p>
      <w:pPr>
        <w:pStyle w:val="44"/>
        <w:snapToGrid w:val="0"/>
        <w:spacing w:line="240" w:lineRule="auto"/>
        <w:jc w:val="center"/>
        <w:rPr>
          <w:rFonts w:ascii="黑体" w:hAnsi="黑体" w:eastAsia="黑体"/>
          <w:color w:val="000000" w:themeColor="text1"/>
          <w14:textFill>
            <w14:solidFill>
              <w14:schemeClr w14:val="tx1"/>
            </w14:solidFill>
          </w14:textFill>
        </w:rPr>
      </w:pPr>
    </w:p>
    <w:p>
      <w:pPr>
        <w:pStyle w:val="44"/>
        <w:snapToGrid w:val="0"/>
        <w:spacing w:line="240" w:lineRule="auto"/>
        <w:jc w:val="center"/>
        <w:rPr>
          <w:rFonts w:ascii="黑体" w:hAnsi="黑体" w:eastAsia="黑体"/>
          <w:color w:val="000000" w:themeColor="text1"/>
          <w14:textFill>
            <w14:solidFill>
              <w14:schemeClr w14:val="tx1"/>
            </w14:solidFill>
          </w14:textFill>
        </w:rPr>
      </w:pPr>
    </w:p>
    <w:p>
      <w:pPr>
        <w:pStyle w:val="44"/>
        <w:snapToGrid w:val="0"/>
        <w:spacing w:line="240" w:lineRule="auto"/>
        <w:jc w:val="center"/>
        <w:rPr>
          <w:rFonts w:ascii="黑体" w:hAnsi="黑体" w:eastAsia="黑体"/>
          <w:color w:val="000000" w:themeColor="text1"/>
          <w14:textFill>
            <w14:solidFill>
              <w14:schemeClr w14:val="tx1"/>
            </w14:solidFill>
          </w14:textFill>
        </w:rPr>
      </w:pPr>
    </w:p>
    <w:p>
      <w:pPr>
        <w:pStyle w:val="44"/>
        <w:snapToGrid w:val="0"/>
        <w:spacing w:line="240" w:lineRule="auto"/>
        <w:jc w:val="center"/>
        <w:rPr>
          <w:rFonts w:ascii="黑体" w:hAnsi="黑体" w:eastAsia="黑体"/>
          <w:color w:val="000000" w:themeColor="text1"/>
          <w14:textFill>
            <w14:solidFill>
              <w14:schemeClr w14:val="tx1"/>
            </w14:solidFill>
          </w14:textFill>
        </w:rPr>
      </w:pPr>
    </w:p>
    <w:p>
      <w:pPr>
        <w:rPr>
          <w:rStyle w:val="39"/>
          <w:color w:val="000000" w:themeColor="text1"/>
          <w14:textFill>
            <w14:solidFill>
              <w14:schemeClr w14:val="tx1"/>
            </w14:solidFill>
          </w14:textFill>
        </w:rPr>
      </w:pPr>
      <w:r>
        <w:rPr>
          <w:rStyle w:val="39"/>
          <w:color w:val="000000" w:themeColor="text1"/>
          <w14:textFill>
            <w14:solidFill>
              <w14:schemeClr w14:val="tx1"/>
            </w14:solidFill>
          </w14:textFill>
        </w:rPr>
        <w:br w:type="page"/>
      </w:r>
    </w:p>
    <w:p>
      <w:pPr>
        <w:pStyle w:val="44"/>
        <w:snapToGrid w:val="0"/>
        <w:spacing w:line="240" w:lineRule="auto"/>
        <w:jc w:val="center"/>
        <w:outlineLvl w:val="0"/>
        <w:rPr>
          <w:rStyle w:val="39"/>
          <w:color w:val="000000" w:themeColor="text1"/>
          <w14:textFill>
            <w14:solidFill>
              <w14:schemeClr w14:val="tx1"/>
            </w14:solidFill>
          </w14:textFill>
        </w:rPr>
      </w:pPr>
      <w:bookmarkStart w:id="0" w:name="_Toc15458"/>
      <w:r>
        <w:rPr>
          <w:rStyle w:val="39"/>
          <w:color w:val="000000" w:themeColor="text1"/>
          <w14:textFill>
            <w14:solidFill>
              <w14:schemeClr w14:val="tx1"/>
            </w14:solidFill>
          </w14:textFill>
        </w:rPr>
        <w:t xml:space="preserve">第一章  </w:t>
      </w:r>
      <w:r>
        <w:rPr>
          <w:rStyle w:val="39"/>
          <w:rFonts w:hint="eastAsia"/>
          <w:color w:val="000000" w:themeColor="text1"/>
          <w14:textFill>
            <w14:solidFill>
              <w14:schemeClr w14:val="tx1"/>
            </w14:solidFill>
          </w14:textFill>
        </w:rPr>
        <w:t>竞争性谈判</w:t>
      </w:r>
      <w:r>
        <w:rPr>
          <w:rStyle w:val="39"/>
          <w:color w:val="000000" w:themeColor="text1"/>
          <w14:textFill>
            <w14:solidFill>
              <w14:schemeClr w14:val="tx1"/>
            </w14:solidFill>
          </w14:textFill>
        </w:rPr>
        <w:t>公告</w:t>
      </w:r>
      <w:bookmarkEnd w:id="0"/>
    </w:p>
    <w:p>
      <w:pPr>
        <w:spacing w:line="400" w:lineRule="exact"/>
        <w:rPr>
          <w:b/>
          <w:color w:val="000000" w:themeColor="text1"/>
          <w:sz w:val="24"/>
          <w:u w:val="single"/>
          <w14:textFill>
            <w14:solidFill>
              <w14:schemeClr w14:val="tx1"/>
            </w14:solidFill>
          </w14:textFill>
        </w:rPr>
      </w:pPr>
      <w:r>
        <w:rPr>
          <w:rFonts w:ascii="黑体" w:hAnsi="黑体" w:eastAsia="黑体" w:cs="黑体"/>
          <w:color w:val="000000" w:themeColor="text1"/>
          <w:sz w:val="30"/>
          <w:szCs w:val="30"/>
          <w14:textFill>
            <w14:solidFill>
              <w14:schemeClr w14:val="tx1"/>
            </w14:solidFill>
          </w14:textFill>
        </w:rPr>
        <w:t xml:space="preserve">   </w:t>
      </w:r>
      <w:r>
        <w:rPr>
          <w:color w:val="000000" w:themeColor="text1"/>
          <w:sz w:val="24"/>
          <w14:textFill>
            <w14:solidFill>
              <w14:schemeClr w14:val="tx1"/>
            </w14:solidFill>
          </w14:textFill>
        </w:rPr>
        <w:t> 根据《中华人民共和国政府采购法》、《浙江广厦建设职业技术大学招投标管理办法》等有关规定，现就</w:t>
      </w:r>
      <w:r>
        <w:rPr>
          <w:rFonts w:hint="eastAsia"/>
          <w:color w:val="000000" w:themeColor="text1"/>
          <w:sz w:val="24"/>
          <w14:textFill>
            <w14:solidFill>
              <w14:schemeClr w14:val="tx1"/>
            </w14:solidFill>
          </w14:textFill>
        </w:rPr>
        <w:t>浙江广厦建设职业技术大学移动式垃圾压缩机</w:t>
      </w:r>
      <w:r>
        <w:rPr>
          <w:color w:val="000000" w:themeColor="text1"/>
          <w:sz w:val="24"/>
          <w14:textFill>
            <w14:solidFill>
              <w14:schemeClr w14:val="tx1"/>
            </w14:solidFill>
          </w14:textFill>
        </w:rPr>
        <w:t>进行</w:t>
      </w:r>
      <w:r>
        <w:rPr>
          <w:rFonts w:hint="eastAsia" w:ascii="宋体" w:hAnsi="宋体" w:cs="宋体"/>
          <w:sz w:val="24"/>
        </w:rPr>
        <w:t>采购事项公告如下。</w:t>
      </w:r>
    </w:p>
    <w:p>
      <w:pPr>
        <w:snapToGrid w:val="0"/>
        <w:spacing w:line="400" w:lineRule="exact"/>
        <w:ind w:firstLine="480"/>
        <w:rPr>
          <w:rFonts w:ascii="宋体" w:hAnsi="宋体" w:cs="宋体"/>
          <w:color w:val="000000" w:themeColor="text1"/>
          <w:kern w:val="0"/>
          <w:sz w:val="24"/>
          <w14:textFill>
            <w14:solidFill>
              <w14:schemeClr w14:val="tx1"/>
            </w14:solidFill>
          </w14:textFill>
        </w:rPr>
      </w:pPr>
      <w:r>
        <w:rPr>
          <w:rFonts w:ascii="宋体" w:hAnsi="宋体" w:cs="Arial"/>
          <w:color w:val="000000" w:themeColor="text1"/>
          <w:sz w:val="24"/>
          <w14:textFill>
            <w14:solidFill>
              <w14:schemeClr w14:val="tx1"/>
            </w14:solidFill>
          </w14:textFill>
        </w:rPr>
        <w:t>一、</w:t>
      </w:r>
      <w:r>
        <w:rPr>
          <w:rFonts w:ascii="宋体" w:hAnsi="宋体" w:cs="Arial"/>
          <w:b/>
          <w:bCs/>
          <w:color w:val="000000" w:themeColor="text1"/>
          <w:sz w:val="24"/>
          <w14:textFill>
            <w14:solidFill>
              <w14:schemeClr w14:val="tx1"/>
            </w14:solidFill>
          </w14:textFill>
        </w:rPr>
        <w:t>项目编号：</w:t>
      </w:r>
      <w:r>
        <w:rPr>
          <w:rFonts w:hint="eastAsia" w:ascii="宋体" w:hAnsi="宋体" w:cs="宋体"/>
          <w:color w:val="000000" w:themeColor="text1"/>
          <w:kern w:val="0"/>
          <w:sz w:val="24"/>
          <w14:textFill>
            <w14:solidFill>
              <w14:schemeClr w14:val="tx1"/>
            </w14:solidFill>
          </w14:textFill>
        </w:rPr>
        <w:t>ZJGS2021-C014</w:t>
      </w:r>
    </w:p>
    <w:p>
      <w:pPr>
        <w:snapToGrid w:val="0"/>
        <w:spacing w:line="400" w:lineRule="exact"/>
        <w:ind w:firstLine="480"/>
        <w:rPr>
          <w:rFonts w:ascii="宋体" w:hAnsi="宋体" w:cs="Arial"/>
          <w:color w:val="000000" w:themeColor="text1"/>
          <w:sz w:val="24"/>
          <w:szCs w:val="20"/>
          <w14:textFill>
            <w14:solidFill>
              <w14:schemeClr w14:val="tx1"/>
            </w14:solidFill>
          </w14:textFill>
        </w:rPr>
      </w:pPr>
      <w:r>
        <w:rPr>
          <w:rFonts w:ascii="宋体" w:hAnsi="宋体" w:cs="Arial"/>
          <w:color w:val="000000" w:themeColor="text1"/>
          <w:sz w:val="24"/>
          <w14:textFill>
            <w14:solidFill>
              <w14:schemeClr w14:val="tx1"/>
            </w14:solidFill>
          </w14:textFill>
        </w:rPr>
        <w:t>二、</w:t>
      </w:r>
      <w:r>
        <w:rPr>
          <w:rFonts w:ascii="宋体" w:hAnsi="宋体" w:cs="Arial"/>
          <w:b/>
          <w:color w:val="000000" w:themeColor="text1"/>
          <w:sz w:val="24"/>
          <w14:textFill>
            <w14:solidFill>
              <w14:schemeClr w14:val="tx1"/>
            </w14:solidFill>
          </w14:textFill>
        </w:rPr>
        <w:t>采购组织类型：</w:t>
      </w:r>
      <w:r>
        <w:rPr>
          <w:rFonts w:ascii="宋体" w:hAnsi="宋体" w:cs="Arial"/>
          <w:color w:val="000000" w:themeColor="text1"/>
          <w:sz w:val="24"/>
          <w14:textFill>
            <w14:solidFill>
              <w14:schemeClr w14:val="tx1"/>
            </w14:solidFill>
          </w14:textFill>
        </w:rPr>
        <w:t>自行采购</w:t>
      </w:r>
    </w:p>
    <w:p>
      <w:pPr>
        <w:snapToGrid w:val="0"/>
        <w:spacing w:line="400" w:lineRule="exact"/>
        <w:ind w:firstLine="482"/>
        <w:rPr>
          <w:rFonts w:ascii="宋体" w:hAnsi="宋体" w:cs="Arial"/>
          <w:color w:val="000000" w:themeColor="text1"/>
          <w:sz w:val="24"/>
          <w:szCs w:val="20"/>
          <w14:textFill>
            <w14:solidFill>
              <w14:schemeClr w14:val="tx1"/>
            </w14:solidFill>
          </w14:textFill>
        </w:rPr>
      </w:pPr>
      <w:r>
        <w:rPr>
          <w:rFonts w:ascii="宋体" w:hAnsi="宋体" w:cs="Arial"/>
          <w:b/>
          <w:color w:val="000000" w:themeColor="text1"/>
          <w:sz w:val="24"/>
          <w14:textFill>
            <w14:solidFill>
              <w14:schemeClr w14:val="tx1"/>
            </w14:solidFill>
          </w14:textFill>
        </w:rPr>
        <w:t>三、采购方式：</w:t>
      </w:r>
      <w:r>
        <w:rPr>
          <w:rFonts w:hint="eastAsia" w:ascii="宋体" w:hAnsi="宋体" w:cs="宋体"/>
          <w:sz w:val="24"/>
        </w:rPr>
        <w:t>竞争性谈判</w:t>
      </w:r>
    </w:p>
    <w:p>
      <w:pPr>
        <w:snapToGrid w:val="0"/>
        <w:spacing w:line="400" w:lineRule="exact"/>
        <w:ind w:firstLine="482"/>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四、采购内容及数量：</w:t>
      </w:r>
    </w:p>
    <w:tbl>
      <w:tblPr>
        <w:tblStyle w:val="21"/>
        <w:tblW w:w="8946" w:type="dxa"/>
        <w:tblInd w:w="40" w:type="dxa"/>
        <w:tblLayout w:type="fixed"/>
        <w:tblCellMar>
          <w:top w:w="0" w:type="dxa"/>
          <w:left w:w="108" w:type="dxa"/>
          <w:bottom w:w="0" w:type="dxa"/>
          <w:right w:w="108" w:type="dxa"/>
        </w:tblCellMar>
      </w:tblPr>
      <w:tblGrid>
        <w:gridCol w:w="4791"/>
        <w:gridCol w:w="4155"/>
      </w:tblGrid>
      <w:tr>
        <w:tblPrEx>
          <w:tblCellMar>
            <w:top w:w="0" w:type="dxa"/>
            <w:left w:w="108" w:type="dxa"/>
            <w:bottom w:w="0" w:type="dxa"/>
            <w:right w:w="108" w:type="dxa"/>
          </w:tblCellMar>
        </w:tblPrEx>
        <w:trPr>
          <w:trHeight w:val="426" w:hRule="atLeast"/>
        </w:trPr>
        <w:tc>
          <w:tcPr>
            <w:tcW w:w="479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lang w:val="zh-CN"/>
                <w14:textFill>
                  <w14:solidFill>
                    <w14:schemeClr w14:val="tx1"/>
                  </w14:solidFill>
                </w14:textFill>
              </w:rPr>
            </w:pPr>
            <w:r>
              <w:rPr>
                <w:rFonts w:ascii="宋体" w:hAnsi="宋体"/>
                <w:color w:val="000000" w:themeColor="text1"/>
                <w:kern w:val="0"/>
                <w:sz w:val="24"/>
                <w:lang w:val="zh-CN"/>
                <w14:textFill>
                  <w14:solidFill>
                    <w14:schemeClr w14:val="tx1"/>
                  </w14:solidFill>
                </w14:textFill>
              </w:rPr>
              <w:t>采购内容</w:t>
            </w:r>
          </w:p>
        </w:tc>
        <w:tc>
          <w:tcPr>
            <w:tcW w:w="4155"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exact"/>
              <w:ind w:right="60"/>
              <w:jc w:val="center"/>
              <w:rPr>
                <w:rFonts w:ascii="宋体" w:hAnsi="宋体"/>
                <w:b/>
                <w:color w:val="000000"/>
                <w:sz w:val="24"/>
                <w:lang w:val="zh-CN"/>
              </w:rPr>
            </w:pPr>
            <w:r>
              <w:rPr>
                <w:rFonts w:hint="eastAsia" w:ascii="宋体" w:hAnsi="宋体" w:cs="宋体"/>
                <w:b/>
                <w:sz w:val="24"/>
                <w:szCs w:val="20"/>
              </w:rPr>
              <w:t>预算金额</w:t>
            </w:r>
          </w:p>
        </w:tc>
      </w:tr>
      <w:tr>
        <w:tblPrEx>
          <w:tblCellMar>
            <w:top w:w="0" w:type="dxa"/>
            <w:left w:w="108" w:type="dxa"/>
            <w:bottom w:w="0" w:type="dxa"/>
            <w:right w:w="108" w:type="dxa"/>
          </w:tblCellMar>
        </w:tblPrEx>
        <w:trPr>
          <w:trHeight w:val="782" w:hRule="atLeast"/>
        </w:trPr>
        <w:tc>
          <w:tcPr>
            <w:tcW w:w="4791" w:type="dxa"/>
            <w:tcBorders>
              <w:top w:val="single" w:color="000000" w:sz="4" w:space="0"/>
              <w:left w:val="single" w:color="000000" w:sz="4" w:space="0"/>
              <w:bottom w:val="single" w:color="000000" w:sz="4" w:space="0"/>
              <w:right w:val="single" w:color="000000" w:sz="4" w:space="0"/>
            </w:tcBorders>
            <w:vAlign w:val="center"/>
          </w:tcPr>
          <w:p>
            <w:pPr>
              <w:pStyle w:val="47"/>
              <w:spacing w:line="400" w:lineRule="exact"/>
              <w:ind w:firstLine="0" w:firstLineChars="0"/>
              <w:jc w:val="center"/>
              <w:rPr>
                <w:rFonts w:ascii="宋体" w:hAnsi="宋体"/>
                <w:color w:val="000000" w:themeColor="text1"/>
                <w:kern w:val="0"/>
                <w:sz w:val="24"/>
                <w:lang w:val="zh-CN"/>
                <w14:textFill>
                  <w14:solidFill>
                    <w14:schemeClr w14:val="tx1"/>
                  </w14:solidFill>
                </w14:textFill>
              </w:rPr>
            </w:pPr>
            <w:r>
              <w:rPr>
                <w:rFonts w:hint="eastAsia" w:ascii="宋体" w:hAnsi="宋体" w:cs="Arial"/>
                <w:bCs/>
                <w:color w:val="000000" w:themeColor="text1"/>
                <w:sz w:val="24"/>
                <w:szCs w:val="20"/>
                <w14:textFill>
                  <w14:solidFill>
                    <w14:schemeClr w14:val="tx1"/>
                  </w14:solidFill>
                </w14:textFill>
              </w:rPr>
              <w:t>移动式垃圾压缩机</w:t>
            </w:r>
          </w:p>
        </w:tc>
        <w:tc>
          <w:tcPr>
            <w:tcW w:w="41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sz w:val="24"/>
              </w:rPr>
            </w:pPr>
            <w:r>
              <w:rPr>
                <w:rFonts w:hint="eastAsia" w:ascii="宋体" w:hAnsi="宋体"/>
                <w:color w:val="000000"/>
                <w:sz w:val="24"/>
              </w:rPr>
              <w:t>16万</w:t>
            </w:r>
          </w:p>
        </w:tc>
      </w:tr>
    </w:tbl>
    <w:p>
      <w:pPr>
        <w:tabs>
          <w:tab w:val="left" w:pos="0"/>
        </w:tabs>
        <w:snapToGrid w:val="0"/>
        <w:spacing w:line="400" w:lineRule="exact"/>
        <w:ind w:firstLine="482" w:firstLineChars="200"/>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五、</w:t>
      </w:r>
      <w:r>
        <w:rPr>
          <w:rFonts w:ascii="宋体" w:hAnsi="宋体" w:cs="Arial"/>
          <w:b/>
          <w:color w:val="000000" w:themeColor="text1"/>
          <w:sz w:val="24"/>
          <w14:textFill>
            <w14:solidFill>
              <w14:schemeClr w14:val="tx1"/>
            </w14:solidFill>
          </w14:textFill>
        </w:rPr>
        <w:t>合格投标人的资格要求</w:t>
      </w:r>
    </w:p>
    <w:p>
      <w:pPr>
        <w:snapToGrid w:val="0"/>
        <w:spacing w:line="400" w:lineRule="exact"/>
        <w:ind w:firstLine="480"/>
        <w:rPr>
          <w:color w:val="000000" w:themeColor="text1"/>
          <w14:textFill>
            <w14:solidFill>
              <w14:schemeClr w14:val="tx1"/>
            </w14:solidFill>
          </w14:textFill>
        </w:rPr>
      </w:pPr>
      <w:r>
        <w:rPr>
          <w:rFonts w:ascii="宋体" w:hAnsi="宋体" w:cs="Arial"/>
          <w:color w:val="000000" w:themeColor="text1"/>
          <w:sz w:val="24"/>
          <w14:textFill>
            <w14:solidFill>
              <w14:schemeClr w14:val="tx1"/>
            </w14:solidFill>
          </w14:textFill>
        </w:rPr>
        <w:t>符合《中华人民共和国政府采购法》第二十二条规定的投标人资格条件和本公告设定的特定条件。</w:t>
      </w:r>
    </w:p>
    <w:p>
      <w:pPr>
        <w:snapToGrid w:val="0"/>
        <w:spacing w:line="400" w:lineRule="exact"/>
        <w:ind w:firstLine="240"/>
        <w:rPr>
          <w:rFonts w:ascii="宋体" w:hAnsi="宋体" w:cs="宋体"/>
          <w:b/>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投标人的特定条件：</w:t>
      </w:r>
    </w:p>
    <w:p>
      <w:pPr>
        <w:shd w:val="clear" w:color="auto" w:fill="FFFFFF"/>
        <w:snapToGrid w:val="0"/>
        <w:spacing w:line="400" w:lineRule="exact"/>
        <w:ind w:left="479"/>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A、投标人需具有独立法人资格，具有工商注册经营许可。</w:t>
      </w:r>
    </w:p>
    <w:p>
      <w:pPr>
        <w:shd w:val="clear" w:color="auto" w:fill="FFFFFF"/>
        <w:snapToGrid w:val="0"/>
        <w:spacing w:line="400" w:lineRule="exact"/>
        <w:ind w:firstLine="482"/>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B、</w:t>
      </w:r>
      <w:r>
        <w:rPr>
          <w:rFonts w:ascii="宋体" w:hAnsi="宋体" w:cs="宋体"/>
          <w:b/>
          <w:bCs/>
          <w:color w:val="000000" w:themeColor="text1"/>
          <w:sz w:val="24"/>
          <w14:textFill>
            <w14:solidFill>
              <w14:schemeClr w14:val="tx1"/>
            </w14:solidFill>
          </w14:textFill>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pacing w:line="40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D</w:t>
      </w:r>
      <w:r>
        <w:rPr>
          <w:rFonts w:ascii="宋体" w:hAnsi="宋体" w:cs="宋体"/>
          <w:color w:val="000000" w:themeColor="text1"/>
          <w:kern w:val="0"/>
          <w:sz w:val="24"/>
          <w14:textFill>
            <w14:solidFill>
              <w14:schemeClr w14:val="tx1"/>
            </w14:solidFill>
          </w14:textFill>
        </w:rPr>
        <w:t>、本项目不接受联合体投标。</w:t>
      </w:r>
    </w:p>
    <w:p>
      <w:pPr>
        <w:snapToGrid w:val="0"/>
        <w:spacing w:line="400" w:lineRule="exact"/>
        <w:ind w:firstLine="482"/>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六、招标文件的获取及报名方式</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本项目谈判截止时间：2021年9月30日9时30分前</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报名可通</w:t>
      </w:r>
      <w:r>
        <w:rPr>
          <w:rFonts w:ascii="宋体" w:hAnsi="宋体" w:cs="Arial"/>
          <w:color w:val="000000" w:themeColor="text1"/>
          <w:sz w:val="24"/>
          <w14:textFill>
            <w14:solidFill>
              <w14:schemeClr w14:val="tx1"/>
            </w14:solidFill>
          </w14:textFill>
        </w:rPr>
        <w:t>过邮箱方式</w:t>
      </w:r>
      <w:r>
        <w:rPr>
          <w:rFonts w:hint="eastAsia" w:ascii="宋体" w:hAnsi="宋体" w:cs="Arial"/>
          <w:color w:val="000000" w:themeColor="text1"/>
          <w:sz w:val="24"/>
          <w14:textFill>
            <w14:solidFill>
              <w14:schemeClr w14:val="tx1"/>
            </w14:solidFill>
          </w14:textFill>
        </w:rPr>
        <w:t>或</w:t>
      </w:r>
      <w:r>
        <w:rPr>
          <w:rFonts w:ascii="宋体" w:hAnsi="宋体" w:cs="Arial"/>
          <w:color w:val="000000" w:themeColor="text1"/>
          <w:sz w:val="24"/>
          <w14:textFill>
            <w14:solidFill>
              <w14:schemeClr w14:val="tx1"/>
            </w14:solidFill>
          </w14:textFill>
        </w:rPr>
        <w:t>送达</w:t>
      </w:r>
      <w:r>
        <w:rPr>
          <w:rFonts w:hint="eastAsia" w:ascii="宋体" w:hAnsi="宋体" w:cs="Arial"/>
          <w:color w:val="000000" w:themeColor="text1"/>
          <w:sz w:val="24"/>
          <w14:textFill>
            <w14:solidFill>
              <w14:schemeClr w14:val="tx1"/>
            </w14:solidFill>
          </w14:textFill>
        </w:rPr>
        <w:t>至浙江广厦建设职业技术大学213办公室</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电话</w:t>
      </w:r>
      <w:r>
        <w:rPr>
          <w:rFonts w:ascii="宋体" w:hAnsi="宋体" w:cs="Arial"/>
          <w:color w:val="000000" w:themeColor="text1"/>
          <w:sz w:val="24"/>
          <w14:textFill>
            <w14:solidFill>
              <w14:schemeClr w14:val="tx1"/>
            </w14:solidFill>
          </w14:textFill>
        </w:rPr>
        <w:t>：0579-866</w:t>
      </w:r>
      <w:r>
        <w:rPr>
          <w:rFonts w:hint="eastAsia" w:ascii="宋体" w:hAnsi="宋体" w:cs="Arial"/>
          <w:color w:val="000000" w:themeColor="text1"/>
          <w:sz w:val="24"/>
          <w14:textFill>
            <w14:solidFill>
              <w14:schemeClr w14:val="tx1"/>
            </w14:solidFill>
          </w14:textFill>
        </w:rPr>
        <w:t>64725</w:t>
      </w:r>
      <w:r>
        <w:rPr>
          <w:rFonts w:ascii="宋体" w:hAnsi="宋体" w:cs="Arial"/>
          <w:color w:val="000000" w:themeColor="text1"/>
          <w:sz w:val="24"/>
          <w14:textFill>
            <w14:solidFill>
              <w14:schemeClr w14:val="tx1"/>
            </w14:solidFill>
          </w14:textFill>
        </w:rPr>
        <w:t>，邮箱：</w:t>
      </w:r>
      <w:r>
        <w:rPr>
          <w:rFonts w:hint="eastAsia" w:ascii="宋体" w:hAnsi="宋体" w:cs="Arial"/>
          <w:color w:val="000000" w:themeColor="text1"/>
          <w:sz w:val="24"/>
          <w14:textFill>
            <w14:solidFill>
              <w14:schemeClr w14:val="tx1"/>
            </w14:solidFill>
          </w14:textFill>
        </w:rPr>
        <w:t>953715462</w:t>
      </w:r>
      <w:r>
        <w:rPr>
          <w:rFonts w:ascii="宋体" w:hAnsi="宋体" w:cs="Arial"/>
          <w:color w:val="000000" w:themeColor="text1"/>
          <w:sz w:val="24"/>
          <w14:textFill>
            <w14:solidFill>
              <w14:schemeClr w14:val="tx1"/>
            </w14:solidFill>
          </w14:textFill>
        </w:rPr>
        <w:t>@qq.com）</w:t>
      </w:r>
    </w:p>
    <w:p>
      <w:pPr>
        <w:spacing w:line="400" w:lineRule="exact"/>
        <w:ind w:firstLine="482"/>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七、投标截止时间和地点：</w:t>
      </w:r>
    </w:p>
    <w:p>
      <w:pPr>
        <w:snapToGrid w:val="0"/>
        <w:spacing w:line="400" w:lineRule="exact"/>
        <w:ind w:firstLine="420"/>
        <w:rPr>
          <w:rFonts w:ascii="宋体" w:hAnsi="宋体" w:cs="Arial"/>
          <w:sz w:val="24"/>
        </w:rPr>
      </w:pPr>
      <w:r>
        <w:rPr>
          <w:rFonts w:ascii="宋体" w:hAnsi="宋体" w:cs="Arial"/>
          <w:color w:val="000000" w:themeColor="text1"/>
          <w:sz w:val="24"/>
          <w14:textFill>
            <w14:solidFill>
              <w14:schemeClr w14:val="tx1"/>
            </w14:solidFill>
          </w14:textFill>
        </w:rPr>
        <w:t>投标截止时间为：</w:t>
      </w:r>
      <w:r>
        <w:rPr>
          <w:rFonts w:ascii="宋体" w:hAnsi="宋体" w:cs="Arial"/>
          <w:sz w:val="24"/>
        </w:rPr>
        <w:t>2021年</w:t>
      </w:r>
      <w:r>
        <w:rPr>
          <w:rFonts w:hint="eastAsia" w:ascii="宋体" w:hAnsi="宋体" w:cs="Arial"/>
          <w:sz w:val="24"/>
        </w:rPr>
        <w:t>9月30日9</w:t>
      </w:r>
      <w:r>
        <w:rPr>
          <w:rFonts w:ascii="宋体" w:hAnsi="宋体" w:cs="Arial"/>
          <w:sz w:val="24"/>
        </w:rPr>
        <w:t>时3</w:t>
      </w:r>
      <w:r>
        <w:rPr>
          <w:rFonts w:hint="eastAsia" w:ascii="宋体" w:hAnsi="宋体" w:cs="Arial"/>
          <w:sz w:val="24"/>
        </w:rPr>
        <w:t>0</w:t>
      </w:r>
      <w:r>
        <w:rPr>
          <w:rFonts w:ascii="宋体" w:hAnsi="宋体" w:cs="Arial"/>
          <w:sz w:val="24"/>
        </w:rPr>
        <w:t xml:space="preserve">分前； </w:t>
      </w:r>
    </w:p>
    <w:p>
      <w:pPr>
        <w:snapToGrid w:val="0"/>
        <w:spacing w:line="400" w:lineRule="exact"/>
        <w:ind w:firstLine="420"/>
        <w:rPr>
          <w:rFonts w:ascii="宋体" w:hAnsi="宋体" w:cs="Arial"/>
          <w:sz w:val="24"/>
        </w:rPr>
      </w:pPr>
      <w:r>
        <w:rPr>
          <w:rFonts w:ascii="宋体" w:hAnsi="宋体" w:cs="Arial"/>
          <w:sz w:val="24"/>
        </w:rPr>
        <w:t>开标</w:t>
      </w:r>
      <w:r>
        <w:rPr>
          <w:rFonts w:hint="eastAsia" w:ascii="宋体" w:hAnsi="宋体" w:cs="Arial"/>
          <w:sz w:val="24"/>
        </w:rPr>
        <w:t>地址</w:t>
      </w:r>
      <w:r>
        <w:rPr>
          <w:rFonts w:ascii="宋体" w:hAnsi="宋体" w:cs="Arial"/>
          <w:sz w:val="24"/>
        </w:rPr>
        <w:t>，浙江广厦建设职业技术大学综合楼603开标室。</w:t>
      </w:r>
    </w:p>
    <w:p>
      <w:pPr>
        <w:snapToGrid w:val="0"/>
        <w:spacing w:line="400" w:lineRule="exact"/>
        <w:ind w:firstLine="540"/>
        <w:rPr>
          <w:rFonts w:ascii="宋体" w:hAnsi="宋体" w:cs="Arial"/>
          <w:b/>
          <w:bCs/>
          <w:sz w:val="24"/>
        </w:rPr>
      </w:pPr>
      <w:r>
        <w:rPr>
          <w:rFonts w:ascii="宋体" w:hAnsi="宋体" w:cs="宋体"/>
          <w:sz w:val="24"/>
        </w:rPr>
        <w:t>▲</w:t>
      </w:r>
      <w:r>
        <w:rPr>
          <w:rFonts w:ascii="宋体" w:hAnsi="宋体" w:cs="Arial"/>
          <w:b/>
          <w:bCs/>
          <w:sz w:val="24"/>
        </w:rPr>
        <w:t>八、开标时间及地点：</w:t>
      </w:r>
    </w:p>
    <w:p>
      <w:pPr>
        <w:snapToGrid w:val="0"/>
        <w:spacing w:line="400" w:lineRule="exact"/>
        <w:ind w:firstLine="420"/>
        <w:rPr>
          <w:rFonts w:ascii="宋体" w:hAnsi="宋体" w:cs="Arial"/>
          <w:sz w:val="24"/>
        </w:rPr>
      </w:pPr>
      <w:r>
        <w:rPr>
          <w:rFonts w:ascii="宋体" w:hAnsi="宋体" w:cs="Arial"/>
          <w:sz w:val="24"/>
        </w:rPr>
        <w:t>开标时间为：2021年</w:t>
      </w:r>
      <w:r>
        <w:rPr>
          <w:rFonts w:hint="eastAsia" w:ascii="宋体" w:hAnsi="宋体" w:cs="Arial"/>
          <w:sz w:val="24"/>
        </w:rPr>
        <w:t>9月30日9</w:t>
      </w:r>
      <w:r>
        <w:rPr>
          <w:rFonts w:ascii="宋体" w:hAnsi="宋体" w:cs="Arial"/>
          <w:sz w:val="24"/>
        </w:rPr>
        <w:t>时3</w:t>
      </w:r>
      <w:r>
        <w:rPr>
          <w:rFonts w:hint="eastAsia" w:ascii="宋体" w:hAnsi="宋体" w:cs="Arial"/>
          <w:sz w:val="24"/>
        </w:rPr>
        <w:t>0</w:t>
      </w:r>
      <w:r>
        <w:rPr>
          <w:rFonts w:ascii="宋体" w:hAnsi="宋体" w:cs="Arial"/>
          <w:sz w:val="24"/>
        </w:rPr>
        <w:t xml:space="preserve">分； </w:t>
      </w:r>
    </w:p>
    <w:p>
      <w:pPr>
        <w:snapToGrid w:val="0"/>
        <w:spacing w:line="420" w:lineRule="exact"/>
        <w:ind w:firstLine="420"/>
        <w:rPr>
          <w:rStyle w:val="23"/>
          <w:rFonts w:ascii="仿宋_GB2312" w:hAnsi="宋体" w:eastAsia="仿宋_GB2312" w:cs="仿宋_GB2312"/>
          <w:color w:val="222222"/>
        </w:rPr>
      </w:pPr>
      <w:r>
        <w:rPr>
          <w:rFonts w:hint="eastAsia" w:ascii="宋体" w:hAnsi="宋体" w:cs="Arial"/>
          <w:sz w:val="24"/>
        </w:rPr>
        <w:t>本项目采用不见面开标的形式开标，投标人自行下载钉钉，在开标截止时间前1小时内，加群并开启钉钉视频直播，对开标现场情况进行全程直播。</w:t>
      </w:r>
    </w:p>
    <w:p>
      <w:pPr>
        <w:spacing w:line="400" w:lineRule="exact"/>
        <w:ind w:firstLine="241" w:firstLineChars="100"/>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九、</w:t>
      </w:r>
      <w:r>
        <w:rPr>
          <w:rFonts w:ascii="宋体" w:hAnsi="宋体" w:cs="Arial"/>
          <w:b/>
          <w:bCs/>
          <w:color w:val="000000" w:themeColor="text1"/>
          <w:sz w:val="24"/>
          <w14:textFill>
            <w14:solidFill>
              <w14:schemeClr w14:val="tx1"/>
            </w14:solidFill>
          </w14:textFill>
        </w:rPr>
        <w:t>其他事项：</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为确保招投标活动的公开、公平、公正，切实维护各方合法权益，凡在招标投标、开标评标过程中，受到敲诈、勒索或发现围标串标、虚假投标、恶意竞标等涉黑涉恶线索者，请及时保留相关证据并向有关部门举报。</w:t>
      </w:r>
    </w:p>
    <w:p>
      <w:pPr>
        <w:snapToGrid w:val="0"/>
        <w:spacing w:line="400" w:lineRule="exact"/>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举报电话：</w:t>
      </w:r>
    </w:p>
    <w:p>
      <w:pPr>
        <w:snapToGrid w:val="0"/>
        <w:spacing w:line="400" w:lineRule="exact"/>
        <w:ind w:firstLine="3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市扫黑办：0579-86655381               市公安局：110、0579-86096000</w:t>
      </w:r>
    </w:p>
    <w:p>
      <w:pPr>
        <w:snapToGrid w:val="0"/>
        <w:spacing w:line="400" w:lineRule="exact"/>
        <w:ind w:firstLine="3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市检察院: 0579-86642000               市 法 院：0579-86620148</w:t>
      </w:r>
    </w:p>
    <w:p>
      <w:pPr>
        <w:snapToGrid w:val="0"/>
        <w:spacing w:line="400" w:lineRule="exact"/>
        <w:ind w:firstLine="3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市公共资源办:0579-86691835            市公共资源交易中心:0579-86691729</w:t>
      </w:r>
    </w:p>
    <w:p>
      <w:pPr>
        <w:snapToGrid w:val="0"/>
        <w:spacing w:line="400" w:lineRule="exact"/>
        <w:ind w:firstLine="542"/>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十、业务咨询：</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浙江广厦建设职业技术大学          联系人：</w:t>
      </w:r>
      <w:r>
        <w:rPr>
          <w:rFonts w:hint="eastAsia" w:ascii="宋体" w:hAnsi="宋体" w:cs="Arial"/>
          <w:color w:val="000000" w:themeColor="text1"/>
          <w:sz w:val="24"/>
          <w14:textFill>
            <w14:solidFill>
              <w14:schemeClr w14:val="tx1"/>
            </w14:solidFill>
          </w14:textFill>
        </w:rPr>
        <w:t>林</w:t>
      </w:r>
      <w:r>
        <w:rPr>
          <w:rFonts w:ascii="宋体" w:hAnsi="宋体" w:cs="Arial"/>
          <w:color w:val="000000" w:themeColor="text1"/>
          <w:sz w:val="24"/>
          <w14:textFill>
            <w14:solidFill>
              <w14:schemeClr w14:val="tx1"/>
            </w14:solidFill>
          </w14:textFill>
        </w:rPr>
        <w:t xml:space="preserve">老师     </w:t>
      </w:r>
    </w:p>
    <w:p>
      <w:pPr>
        <w:snapToGrid w:val="0"/>
        <w:spacing w:line="400" w:lineRule="exact"/>
        <w:ind w:firstLine="420"/>
        <w:rPr>
          <w:rFonts w:ascii="宋体" w:hAnsi="宋体" w:cs="宋体"/>
          <w:color w:val="000000" w:themeColor="text1"/>
          <w:sz w:val="28"/>
          <w:szCs w:val="28"/>
          <w14:textFill>
            <w14:solidFill>
              <w14:schemeClr w14:val="tx1"/>
            </w14:solidFill>
          </w14:textFill>
        </w:rPr>
      </w:pPr>
      <w:r>
        <w:rPr>
          <w:rFonts w:ascii="宋体" w:hAnsi="宋体" w:cs="Arial"/>
          <w:color w:val="000000" w:themeColor="text1"/>
          <w:sz w:val="24"/>
          <w14:textFill>
            <w14:solidFill>
              <w14:schemeClr w14:val="tx1"/>
            </w14:solidFill>
          </w14:textFill>
        </w:rPr>
        <w:t>联系电话：</w:t>
      </w:r>
      <w:r>
        <w:rPr>
          <w:rFonts w:ascii="宋体" w:hAnsi="宋体" w:cs="宋体"/>
          <w:color w:val="000000" w:themeColor="text1"/>
          <w:sz w:val="28"/>
          <w:szCs w:val="28"/>
          <w14:textFill>
            <w14:solidFill>
              <w14:schemeClr w14:val="tx1"/>
            </w14:solidFill>
          </w14:textFill>
        </w:rPr>
        <w:t>0579-866</w:t>
      </w:r>
      <w:r>
        <w:rPr>
          <w:rFonts w:hint="eastAsia" w:ascii="宋体" w:hAnsi="宋体" w:cs="宋体"/>
          <w:color w:val="000000" w:themeColor="text1"/>
          <w:sz w:val="28"/>
          <w:szCs w:val="28"/>
          <w14:textFill>
            <w14:solidFill>
              <w14:schemeClr w14:val="tx1"/>
            </w14:solidFill>
          </w14:textFill>
        </w:rPr>
        <w:t>64725</w:t>
      </w:r>
    </w:p>
    <w:p>
      <w:pPr>
        <w:pStyle w:val="19"/>
        <w:spacing w:line="400" w:lineRule="exact"/>
        <w:ind w:firstLine="210"/>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r>
        <w:rPr>
          <w:rFonts w:hint="eastAsia"/>
        </w:rPr>
        <w:t xml:space="preserve">  </w:t>
      </w:r>
    </w:p>
    <w:p>
      <w:pPr>
        <w:snapToGrid w:val="0"/>
        <w:spacing w:line="400" w:lineRule="exact"/>
        <w:ind w:left="238"/>
        <w:jc w:val="center"/>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r>
        <w:rPr>
          <w:rFonts w:ascii="宋体" w:hAnsi="宋体" w:cs="宋体"/>
          <w:b/>
          <w:color w:val="000000" w:themeColor="text1"/>
          <w:sz w:val="24"/>
          <w14:textFill>
            <w14:solidFill>
              <w14:schemeClr w14:val="tx1"/>
            </w14:solidFill>
          </w14:textFill>
        </w:rPr>
        <w:t>浙江广厦建设职业技术大学</w:t>
      </w:r>
    </w:p>
    <w:p>
      <w:pPr>
        <w:snapToGrid w:val="0"/>
        <w:spacing w:line="400" w:lineRule="exact"/>
        <w:ind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r>
        <w:rPr>
          <w:rFonts w:ascii="宋体" w:hAnsi="宋体" w:cs="宋体"/>
          <w:b/>
          <w:color w:val="000000" w:themeColor="text1"/>
          <w:sz w:val="24"/>
          <w14:textFill>
            <w14:solidFill>
              <w14:schemeClr w14:val="tx1"/>
            </w14:solidFill>
          </w14:textFill>
        </w:rPr>
        <w:t>2021年</w:t>
      </w:r>
      <w:r>
        <w:rPr>
          <w:rFonts w:hint="eastAsia" w:ascii="宋体" w:hAnsi="宋体" w:cs="宋体"/>
          <w:b/>
          <w:color w:val="000000" w:themeColor="text1"/>
          <w:sz w:val="24"/>
          <w14:textFill>
            <w14:solidFill>
              <w14:schemeClr w14:val="tx1"/>
            </w14:solidFill>
          </w14:textFill>
        </w:rPr>
        <w:t>9月25日</w:t>
      </w:r>
    </w:p>
    <w:p>
      <w:pPr>
        <w:rPr>
          <w:rFonts w:ascii="黑体" w:hAnsi="黑体" w:eastAsia="黑体"/>
          <w:color w:val="000000" w:themeColor="text1"/>
          <w:sz w:val="28"/>
          <w:szCs w:val="28"/>
          <w14:textFill>
            <w14:solidFill>
              <w14:schemeClr w14:val="tx1"/>
            </w14:solidFill>
          </w14:textFill>
        </w:rPr>
      </w:pPr>
    </w:p>
    <w:p>
      <w:pPr>
        <w:pageBreakBefore/>
        <w:rPr>
          <w:rFonts w:ascii="黑体" w:hAnsi="黑体" w:eastAsia="黑体"/>
          <w:color w:val="000000" w:themeColor="text1"/>
          <w:sz w:val="28"/>
          <w:szCs w:val="28"/>
          <w14:textFill>
            <w14:solidFill>
              <w14:schemeClr w14:val="tx1"/>
            </w14:solidFill>
          </w14:textFill>
        </w:rPr>
      </w:pPr>
      <w:r>
        <w:rPr>
          <w:rFonts w:ascii="黑体" w:hAnsi="黑体" w:eastAsia="黑体"/>
          <w:color w:val="000000" w:themeColor="text1"/>
          <w:sz w:val="28"/>
          <w:szCs w:val="28"/>
          <w14:textFill>
            <w14:solidFill>
              <w14:schemeClr w14:val="tx1"/>
            </w14:solidFill>
          </w14:textFill>
        </w:rPr>
        <w:t xml:space="preserve">附：                   </w:t>
      </w: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sz w:val="36"/>
          <w:szCs w:val="36"/>
        </w:rPr>
        <w:t>谈 判 响 应 确 认 函</w:t>
      </w:r>
    </w:p>
    <w:p>
      <w:pPr>
        <w:spacing w:line="500" w:lineRule="exact"/>
        <w:rPr>
          <w:rFonts w:ascii="宋体" w:hAnsi="宋体" w:cs="宋体"/>
          <w:sz w:val="28"/>
          <w:szCs w:val="28"/>
        </w:rPr>
      </w:pPr>
      <w:r>
        <w:rPr>
          <w:rFonts w:hint="eastAsia" w:ascii="宋体" w:hAnsi="宋体" w:cs="宋体"/>
          <w:bCs/>
          <w:color w:val="000000" w:themeColor="text1"/>
          <w:sz w:val="28"/>
          <w:szCs w:val="28"/>
          <w:u w:val="single"/>
          <w14:textFill>
            <w14:solidFill>
              <w14:schemeClr w14:val="tx1"/>
            </w14:solidFill>
          </w14:textFill>
        </w:rPr>
        <w:t>浙江广厦建设职业技术大学</w:t>
      </w:r>
      <w:r>
        <w:rPr>
          <w:rFonts w:ascii="宋体" w:hAnsi="宋体" w:cs="宋体"/>
          <w:bCs/>
          <w:color w:val="000000" w:themeColor="text1"/>
          <w:sz w:val="28"/>
          <w:szCs w:val="28"/>
          <w:u w:val="single"/>
          <w14:textFill>
            <w14:solidFill>
              <w14:schemeClr w14:val="tx1"/>
            </w14:solidFill>
          </w14:textFill>
        </w:rPr>
        <w:t>：</w:t>
      </w:r>
    </w:p>
    <w:p>
      <w:pPr>
        <w:spacing w:line="700" w:lineRule="exact"/>
        <w:ind w:firstLine="573"/>
        <w:rPr>
          <w:rFonts w:ascii="宋体" w:hAnsi="宋体" w:cs="宋体"/>
          <w:sz w:val="28"/>
          <w:szCs w:val="28"/>
        </w:rPr>
      </w:pPr>
      <w:r>
        <w:rPr>
          <w:rFonts w:hint="eastAsia" w:ascii="宋体" w:hAnsi="宋体" w:cs="宋体"/>
          <w:sz w:val="28"/>
          <w:szCs w:val="28"/>
        </w:rPr>
        <w:t>关于贵方2021年9月28日发布的浙江广厦建设职业技术大学移动式垃圾压缩机竞争性谈判公告，本单位愿意参加该项目的谈判。现予以确认！</w:t>
      </w:r>
    </w:p>
    <w:p>
      <w:pPr>
        <w:spacing w:line="500" w:lineRule="exac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报名标项：</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14:textFill>
            <w14:solidFill>
              <w14:schemeClr w14:val="tx1"/>
            </w14:solidFill>
          </w14:textFill>
        </w:rPr>
      </w:pP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单位名称（公章）：</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法定代表人或授权代表（签章）：</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电  话：</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邮  编：</w:t>
      </w:r>
      <w:r>
        <w:rPr>
          <w:rFonts w:hint="eastAsia"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传  真：</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日  期：</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32"/>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联系人：</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手机号码：</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32"/>
          <w:u w:val="single"/>
          <w14:textFill>
            <w14:solidFill>
              <w14:schemeClr w14:val="tx1"/>
            </w14:solidFill>
          </w14:textFill>
        </w:rPr>
        <w:t xml:space="preserve">   </w:t>
      </w:r>
    </w:p>
    <w:p>
      <w:pPr>
        <w:widowControl/>
        <w:spacing w:line="500" w:lineRule="exact"/>
        <w:jc w:val="left"/>
        <w:rPr>
          <w:rFonts w:ascii="宋体" w:hAnsi="宋体" w:cs="宋体"/>
          <w:color w:val="000000" w:themeColor="text1"/>
          <w:sz w:val="28"/>
          <w:szCs w:val="28"/>
          <w:u w:val="single"/>
          <w14:textFill>
            <w14:solidFill>
              <w14:schemeClr w14:val="tx1"/>
            </w14:solidFill>
          </w14:textFill>
        </w:rPr>
      </w:pPr>
    </w:p>
    <w:p>
      <w:pPr>
        <w:widowControl/>
        <w:spacing w:line="500" w:lineRule="exact"/>
        <w:jc w:val="lef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电子邮箱：</w:t>
      </w:r>
      <w:r>
        <w:rPr>
          <w:rFonts w:ascii="宋体" w:hAnsi="宋体" w:cs="宋体"/>
          <w:color w:val="000000" w:themeColor="text1"/>
          <w:sz w:val="28"/>
          <w:szCs w:val="28"/>
          <w:u w:val="single"/>
          <w14:textFill>
            <w14:solidFill>
              <w14:schemeClr w14:val="tx1"/>
            </w14:solidFill>
          </w14:textFill>
        </w:rPr>
        <w:t xml:space="preserve">                       </w:t>
      </w:r>
    </w:p>
    <w:p>
      <w:pPr>
        <w:widowControl/>
        <w:spacing w:line="192" w:lineRule="auto"/>
        <w:jc w:val="lef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注：此投标确认函</w:t>
      </w:r>
      <w:r>
        <w:rPr>
          <w:rFonts w:ascii="宋体" w:hAnsi="宋体" w:cs="宋体"/>
          <w:sz w:val="28"/>
          <w:szCs w:val="28"/>
        </w:rPr>
        <w:t>请于</w:t>
      </w:r>
      <w:r>
        <w:rPr>
          <w:rFonts w:hint="eastAsia" w:ascii="宋体" w:hAnsi="宋体" w:cs="宋体"/>
          <w:sz w:val="28"/>
          <w:szCs w:val="28"/>
        </w:rPr>
        <w:t>2021年9月29日16时00分</w:t>
      </w:r>
      <w:r>
        <w:rPr>
          <w:rFonts w:hint="eastAsia" w:ascii="宋体" w:hAnsi="宋体" w:cs="宋体"/>
          <w:color w:val="000000" w:themeColor="text1"/>
          <w:sz w:val="28"/>
          <w:szCs w:val="28"/>
          <w14:textFill>
            <w14:solidFill>
              <w14:schemeClr w14:val="tx1"/>
            </w14:solidFill>
          </w14:textFill>
        </w:rPr>
        <w:t>前</w:t>
      </w:r>
      <w:r>
        <w:rPr>
          <w:rFonts w:ascii="宋体" w:hAnsi="宋体" w:cs="宋体"/>
          <w:color w:val="000000" w:themeColor="text1"/>
          <w:sz w:val="28"/>
          <w:szCs w:val="28"/>
          <w14:textFill>
            <w14:solidFill>
              <w14:schemeClr w14:val="tx1"/>
            </w14:solidFill>
          </w14:textFill>
        </w:rPr>
        <w:t>通过邮箱方式</w:t>
      </w:r>
      <w:r>
        <w:rPr>
          <w:rFonts w:hint="eastAsia" w:ascii="宋体" w:hAnsi="宋体" w:cs="宋体"/>
          <w:color w:val="000000" w:themeColor="text1"/>
          <w:sz w:val="28"/>
          <w:szCs w:val="28"/>
          <w14:textFill>
            <w14:solidFill>
              <w14:schemeClr w14:val="tx1"/>
            </w14:solidFill>
          </w14:textFill>
        </w:rPr>
        <w:t>或</w:t>
      </w:r>
      <w:r>
        <w:rPr>
          <w:rFonts w:ascii="宋体" w:hAnsi="宋体" w:cs="宋体"/>
          <w:color w:val="000000" w:themeColor="text1"/>
          <w:sz w:val="28"/>
          <w:szCs w:val="28"/>
          <w14:textFill>
            <w14:solidFill>
              <w14:schemeClr w14:val="tx1"/>
            </w14:solidFill>
          </w14:textFill>
        </w:rPr>
        <w:t>送达</w:t>
      </w:r>
      <w:r>
        <w:rPr>
          <w:rFonts w:hint="eastAsia" w:ascii="宋体" w:hAnsi="宋体" w:cs="宋体"/>
          <w:color w:val="000000" w:themeColor="text1"/>
          <w:sz w:val="28"/>
          <w:szCs w:val="28"/>
          <w14:textFill>
            <w14:solidFill>
              <w14:schemeClr w14:val="tx1"/>
            </w14:solidFill>
          </w14:textFill>
        </w:rPr>
        <w:t>至浙江广厦建设职业技术大学213办公室</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电话</w:t>
      </w:r>
      <w:r>
        <w:rPr>
          <w:rFonts w:ascii="宋体" w:hAnsi="宋体" w:cs="宋体"/>
          <w:color w:val="000000" w:themeColor="text1"/>
          <w:sz w:val="28"/>
          <w:szCs w:val="28"/>
          <w14:textFill>
            <w14:solidFill>
              <w14:schemeClr w14:val="tx1"/>
            </w14:solidFill>
          </w14:textFill>
        </w:rPr>
        <w:t>：0579-866</w:t>
      </w:r>
      <w:r>
        <w:rPr>
          <w:rFonts w:hint="eastAsia" w:ascii="宋体" w:hAnsi="宋体" w:cs="宋体"/>
          <w:color w:val="000000" w:themeColor="text1"/>
          <w:sz w:val="28"/>
          <w:szCs w:val="28"/>
          <w14:textFill>
            <w14:solidFill>
              <w14:schemeClr w14:val="tx1"/>
            </w14:solidFill>
          </w14:textFill>
        </w:rPr>
        <w:t>64725</w:t>
      </w:r>
      <w:r>
        <w:rPr>
          <w:rFonts w:ascii="宋体" w:hAnsi="宋体" w:cs="宋体"/>
          <w:color w:val="000000" w:themeColor="text1"/>
          <w:sz w:val="28"/>
          <w:szCs w:val="28"/>
          <w14:textFill>
            <w14:solidFill>
              <w14:schemeClr w14:val="tx1"/>
            </w14:solidFill>
          </w14:textFill>
        </w:rPr>
        <w:t>，邮箱：</w:t>
      </w:r>
      <w:r>
        <w:rPr>
          <w:rFonts w:hint="eastAsia" w:ascii="宋体" w:hAnsi="宋体" w:cs="宋体"/>
          <w:color w:val="000000" w:themeColor="text1"/>
          <w:sz w:val="28"/>
          <w:szCs w:val="28"/>
          <w14:textFill>
            <w14:solidFill>
              <w14:schemeClr w14:val="tx1"/>
            </w14:solidFill>
          </w14:textFill>
        </w:rPr>
        <w:t>953715462</w:t>
      </w:r>
      <w:r>
        <w:rPr>
          <w:rFonts w:ascii="宋体" w:hAnsi="宋体" w:cs="宋体"/>
          <w:color w:val="000000" w:themeColor="text1"/>
          <w:sz w:val="28"/>
          <w:szCs w:val="28"/>
          <w14:textFill>
            <w14:solidFill>
              <w14:schemeClr w14:val="tx1"/>
            </w14:solidFill>
          </w14:textFill>
        </w:rPr>
        <w:t>@qq.com）。</w:t>
      </w:r>
      <w:r>
        <w:rPr>
          <w:color w:val="000000" w:themeColor="text1"/>
          <w14:textFill>
            <w14:solidFill>
              <w14:schemeClr w14:val="tx1"/>
            </w14:solidFill>
          </w14:textFill>
        </w:rPr>
        <w:br w:type="page"/>
      </w:r>
    </w:p>
    <w:p>
      <w:pPr>
        <w:pStyle w:val="44"/>
        <w:snapToGrid w:val="0"/>
        <w:spacing w:line="480" w:lineRule="auto"/>
        <w:jc w:val="center"/>
        <w:outlineLvl w:val="0"/>
        <w:rPr>
          <w:rFonts w:asciiTheme="majorEastAsia" w:hAnsiTheme="majorEastAsia" w:eastAsiaTheme="majorEastAsia"/>
          <w:b/>
          <w:color w:val="000000" w:themeColor="text1"/>
          <w:sz w:val="32"/>
          <w:szCs w:val="32"/>
          <w14:textFill>
            <w14:solidFill>
              <w14:schemeClr w14:val="tx1"/>
            </w14:solidFill>
          </w14:textFill>
        </w:rPr>
      </w:pPr>
      <w:bookmarkStart w:id="1" w:name="_Toc31368"/>
      <w:r>
        <w:rPr>
          <w:rFonts w:asciiTheme="majorEastAsia" w:hAnsiTheme="majorEastAsia" w:eastAsiaTheme="majorEastAsia"/>
          <w:b/>
          <w:color w:val="000000" w:themeColor="text1"/>
          <w:sz w:val="32"/>
          <w:szCs w:val="32"/>
          <w14:textFill>
            <w14:solidFill>
              <w14:schemeClr w14:val="tx1"/>
            </w14:solidFill>
          </w14:textFill>
        </w:rPr>
        <w:t xml:space="preserve">第二章  </w:t>
      </w:r>
      <w:bookmarkEnd w:id="1"/>
      <w:r>
        <w:rPr>
          <w:rFonts w:hint="eastAsia" w:cs="宋体" w:asciiTheme="majorEastAsia" w:hAnsiTheme="majorEastAsia" w:eastAsiaTheme="majorEastAsia"/>
          <w:b/>
          <w:sz w:val="32"/>
          <w:szCs w:val="32"/>
        </w:rPr>
        <w:t>采购项目需求</w:t>
      </w:r>
    </w:p>
    <w:p>
      <w:pPr>
        <w:spacing w:line="48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编号：</w:t>
      </w:r>
      <w:r>
        <w:rPr>
          <w:rFonts w:hint="eastAsia" w:ascii="宋体" w:hAnsi="宋体" w:cs="宋体"/>
          <w:color w:val="000000" w:themeColor="text1"/>
          <w:kern w:val="0"/>
          <w:sz w:val="24"/>
          <w14:textFill>
            <w14:solidFill>
              <w14:schemeClr w14:val="tx1"/>
            </w14:solidFill>
          </w14:textFill>
        </w:rPr>
        <w:t>ZJGS2021-C014</w:t>
      </w:r>
    </w:p>
    <w:p>
      <w:pPr>
        <w:spacing w:line="480" w:lineRule="auto"/>
        <w:rPr>
          <w:bCs/>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采购项目名称：</w:t>
      </w:r>
      <w:r>
        <w:rPr>
          <w:rFonts w:hint="eastAsia" w:ascii="宋体" w:hAnsi="宋体" w:cs="Arial"/>
          <w:bCs/>
          <w:color w:val="000000" w:themeColor="text1"/>
          <w:sz w:val="24"/>
          <w:szCs w:val="20"/>
          <w14:textFill>
            <w14:solidFill>
              <w14:schemeClr w14:val="tx1"/>
            </w14:solidFill>
          </w14:textFill>
        </w:rPr>
        <w:t>浙江广厦建设职业技术大学移动式垃圾压缩机</w:t>
      </w:r>
    </w:p>
    <w:p>
      <w:pPr>
        <w:numPr>
          <w:ilvl w:val="0"/>
          <w:numId w:val="3"/>
        </w:numPr>
        <w:spacing w:line="276" w:lineRule="auto"/>
        <w:rPr>
          <w:rFonts w:ascii="宋体" w:hAnsi="宋体" w:cs="Arial"/>
          <w:b/>
          <w:color w:val="000000" w:themeColor="text1"/>
          <w:sz w:val="28"/>
          <w:szCs w:val="28"/>
          <w14:textFill>
            <w14:solidFill>
              <w14:schemeClr w14:val="tx1"/>
            </w14:solidFill>
          </w14:textFill>
        </w:rPr>
      </w:pPr>
      <w:r>
        <w:rPr>
          <w:rFonts w:ascii="宋体" w:hAnsi="宋体" w:cs="Arial"/>
          <w:b/>
          <w:color w:val="000000" w:themeColor="text1"/>
          <w:sz w:val="28"/>
          <w:szCs w:val="28"/>
          <w14:textFill>
            <w14:solidFill>
              <w14:schemeClr w14:val="tx1"/>
            </w14:solidFill>
          </w14:textFill>
        </w:rPr>
        <w:t xml:space="preserve">采购内容及数量 </w:t>
      </w:r>
    </w:p>
    <w:tbl>
      <w:tblPr>
        <w:tblStyle w:val="21"/>
        <w:tblW w:w="8451" w:type="dxa"/>
        <w:tblInd w:w="40" w:type="dxa"/>
        <w:tblLayout w:type="fixed"/>
        <w:tblCellMar>
          <w:top w:w="0" w:type="dxa"/>
          <w:left w:w="108" w:type="dxa"/>
          <w:bottom w:w="0" w:type="dxa"/>
          <w:right w:w="108" w:type="dxa"/>
        </w:tblCellMar>
      </w:tblPr>
      <w:tblGrid>
        <w:gridCol w:w="4986"/>
        <w:gridCol w:w="3465"/>
      </w:tblGrid>
      <w:tr>
        <w:tblPrEx>
          <w:tblCellMar>
            <w:top w:w="0" w:type="dxa"/>
            <w:left w:w="108" w:type="dxa"/>
            <w:bottom w:w="0" w:type="dxa"/>
            <w:right w:w="108" w:type="dxa"/>
          </w:tblCellMar>
        </w:tblPrEx>
        <w:trPr>
          <w:trHeight w:val="426" w:hRule="atLeast"/>
        </w:trPr>
        <w:tc>
          <w:tcPr>
            <w:tcW w:w="49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lang w:val="zh-CN"/>
                <w14:textFill>
                  <w14:solidFill>
                    <w14:schemeClr w14:val="tx1"/>
                  </w14:solidFill>
                </w14:textFill>
              </w:rPr>
            </w:pPr>
            <w:r>
              <w:rPr>
                <w:rFonts w:ascii="宋体" w:hAnsi="宋体"/>
                <w:color w:val="000000" w:themeColor="text1"/>
                <w:kern w:val="0"/>
                <w:sz w:val="24"/>
                <w:lang w:val="zh-CN"/>
                <w14:textFill>
                  <w14:solidFill>
                    <w14:schemeClr w14:val="tx1"/>
                  </w14:solidFill>
                </w14:textFill>
              </w:rPr>
              <w:t>采购内容</w:t>
            </w:r>
          </w:p>
        </w:tc>
        <w:tc>
          <w:tcPr>
            <w:tcW w:w="3465"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exact"/>
              <w:ind w:right="60"/>
              <w:jc w:val="center"/>
              <w:rPr>
                <w:rFonts w:ascii="宋体" w:hAnsi="宋体"/>
                <w:b/>
                <w:color w:val="000000"/>
                <w:sz w:val="24"/>
                <w:lang w:val="zh-CN"/>
              </w:rPr>
            </w:pPr>
            <w:r>
              <w:rPr>
                <w:rFonts w:hint="eastAsia" w:ascii="宋体" w:hAnsi="宋体" w:cs="宋体"/>
                <w:b/>
                <w:sz w:val="24"/>
                <w:szCs w:val="20"/>
              </w:rPr>
              <w:t>预算金额</w:t>
            </w:r>
          </w:p>
        </w:tc>
      </w:tr>
      <w:tr>
        <w:tblPrEx>
          <w:tblCellMar>
            <w:top w:w="0" w:type="dxa"/>
            <w:left w:w="108" w:type="dxa"/>
            <w:bottom w:w="0" w:type="dxa"/>
            <w:right w:w="108" w:type="dxa"/>
          </w:tblCellMar>
        </w:tblPrEx>
        <w:trPr>
          <w:trHeight w:val="782" w:hRule="atLeast"/>
        </w:trPr>
        <w:tc>
          <w:tcPr>
            <w:tcW w:w="4986" w:type="dxa"/>
            <w:tcBorders>
              <w:top w:val="single" w:color="000000" w:sz="4" w:space="0"/>
              <w:left w:val="single" w:color="000000" w:sz="4" w:space="0"/>
              <w:bottom w:val="single" w:color="000000" w:sz="4" w:space="0"/>
              <w:right w:val="single" w:color="000000" w:sz="4" w:space="0"/>
            </w:tcBorders>
            <w:vAlign w:val="center"/>
          </w:tcPr>
          <w:p>
            <w:pPr>
              <w:pStyle w:val="47"/>
              <w:spacing w:line="400" w:lineRule="exact"/>
              <w:ind w:firstLine="0" w:firstLineChars="0"/>
              <w:jc w:val="center"/>
              <w:rPr>
                <w:rFonts w:ascii="宋体" w:hAnsi="宋体"/>
                <w:color w:val="000000" w:themeColor="text1"/>
                <w:kern w:val="0"/>
                <w:sz w:val="24"/>
                <w:lang w:val="zh-CN"/>
                <w14:textFill>
                  <w14:solidFill>
                    <w14:schemeClr w14:val="tx1"/>
                  </w14:solidFill>
                </w14:textFill>
              </w:rPr>
            </w:pPr>
            <w:r>
              <w:rPr>
                <w:rFonts w:hint="eastAsia" w:ascii="宋体" w:hAnsi="宋体" w:cs="Arial"/>
                <w:bCs/>
                <w:color w:val="000000" w:themeColor="text1"/>
                <w:sz w:val="24"/>
                <w:szCs w:val="20"/>
                <w14:textFill>
                  <w14:solidFill>
                    <w14:schemeClr w14:val="tx1"/>
                  </w14:solidFill>
                </w14:textFill>
              </w:rPr>
              <w:t>移动式垃圾压缩机</w:t>
            </w:r>
          </w:p>
        </w:tc>
        <w:tc>
          <w:tcPr>
            <w:tcW w:w="34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sz w:val="24"/>
              </w:rPr>
            </w:pPr>
            <w:r>
              <w:rPr>
                <w:rFonts w:hint="eastAsia" w:ascii="宋体" w:hAnsi="宋体"/>
                <w:color w:val="000000"/>
                <w:sz w:val="24"/>
              </w:rPr>
              <w:t>16万</w:t>
            </w:r>
          </w:p>
        </w:tc>
      </w:tr>
    </w:tbl>
    <w:tbl>
      <w:tblPr>
        <w:tblStyle w:val="21"/>
        <w:tblpPr w:leftFromText="180" w:rightFromText="180" w:vertAnchor="text" w:horzAnchor="page" w:tblpX="1500" w:tblpY="7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8"/>
        <w:gridCol w:w="4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vAlign w:val="center"/>
          </w:tcPr>
          <w:p>
            <w:pPr>
              <w:jc w:val="center"/>
              <w:rPr>
                <w:rFonts w:ascii="宋体" w:hAnsi="宋体"/>
                <w:sz w:val="24"/>
              </w:rPr>
            </w:pPr>
            <w:r>
              <w:rPr>
                <w:rFonts w:hint="eastAsia" w:ascii="宋体" w:hAnsi="宋体"/>
                <w:sz w:val="24"/>
              </w:rPr>
              <w:t>项目</w:t>
            </w:r>
          </w:p>
        </w:tc>
        <w:tc>
          <w:tcPr>
            <w:tcW w:w="4861" w:type="dxa"/>
            <w:vAlign w:val="center"/>
          </w:tcPr>
          <w:p>
            <w:pPr>
              <w:jc w:val="center"/>
              <w:rPr>
                <w:rFonts w:ascii="宋体" w:hAnsi="宋体"/>
                <w:sz w:val="24"/>
              </w:rPr>
            </w:pPr>
            <w:r>
              <w:rPr>
                <w:rFonts w:hint="eastAsia" w:ascii="宋体" w:hAnsi="宋体"/>
                <w:sz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sz w:val="24"/>
              </w:rPr>
            </w:pPr>
            <w:r>
              <w:rPr>
                <w:rFonts w:hint="eastAsia" w:ascii="宋体" w:hAnsi="宋体"/>
                <w:bCs/>
                <w:sz w:val="24"/>
              </w:rPr>
              <w:t>外形尺寸(</w:t>
            </w:r>
            <w:r>
              <w:rPr>
                <w:rFonts w:ascii="宋体" w:hAnsi="宋体"/>
                <w:bCs/>
                <w:sz w:val="24"/>
              </w:rPr>
              <w:t>mm</w:t>
            </w:r>
            <w:r>
              <w:rPr>
                <w:rFonts w:hint="eastAsia" w:ascii="宋体" w:hAnsi="宋体"/>
                <w:bCs/>
                <w:sz w:val="24"/>
              </w:rPr>
              <w:t>)</w:t>
            </w:r>
          </w:p>
        </w:tc>
        <w:tc>
          <w:tcPr>
            <w:tcW w:w="4861" w:type="dxa"/>
            <w:vAlign w:val="center"/>
          </w:tcPr>
          <w:p>
            <w:pPr>
              <w:widowControl/>
              <w:rPr>
                <w:rFonts w:ascii="宋体" w:hAnsi="宋体"/>
                <w:kern w:val="0"/>
                <w:sz w:val="24"/>
              </w:rPr>
            </w:pPr>
            <w:r>
              <w:rPr>
                <w:rFonts w:hint="eastAsia" w:ascii="宋体" w:hAnsi="宋体"/>
                <w:sz w:val="24"/>
              </w:rPr>
              <w:t>5030×2560×2630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sz w:val="24"/>
              </w:rPr>
            </w:pPr>
            <w:r>
              <w:rPr>
                <w:rFonts w:hint="eastAsia" w:ascii="宋体" w:hAnsi="宋体"/>
                <w:bCs/>
                <w:sz w:val="24"/>
              </w:rPr>
              <w:t>自重(</w:t>
            </w:r>
            <w:r>
              <w:rPr>
                <w:rFonts w:ascii="宋体" w:hAnsi="宋体"/>
                <w:bCs/>
                <w:sz w:val="24"/>
              </w:rPr>
              <w:t>t</w:t>
            </w:r>
            <w:r>
              <w:rPr>
                <w:rFonts w:hint="eastAsia" w:ascii="宋体" w:hAnsi="宋体"/>
                <w:bCs/>
                <w:sz w:val="24"/>
              </w:rPr>
              <w:t>)</w:t>
            </w:r>
          </w:p>
        </w:tc>
        <w:tc>
          <w:tcPr>
            <w:tcW w:w="4861" w:type="dxa"/>
            <w:vAlign w:val="center"/>
          </w:tcPr>
          <w:p>
            <w:pPr>
              <w:rPr>
                <w:rFonts w:ascii="宋体" w:hAnsi="宋体"/>
                <w:sz w:val="24"/>
              </w:rPr>
            </w:pPr>
            <w:r>
              <w:rPr>
                <w:rFonts w:hint="eastAsia" w:ascii="宋体" w:hAnsi="宋体"/>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bCs/>
                <w:sz w:val="24"/>
              </w:rPr>
            </w:pPr>
            <w:r>
              <w:rPr>
                <w:rFonts w:hint="eastAsia" w:ascii="宋体" w:hAnsi="宋体"/>
                <w:bCs/>
                <w:sz w:val="24"/>
              </w:rPr>
              <w:t>单机</w:t>
            </w:r>
            <w:r>
              <w:rPr>
                <w:rFonts w:ascii="宋体" w:hAnsi="宋体"/>
                <w:bCs/>
                <w:sz w:val="24"/>
              </w:rPr>
              <w:t>垃圾处理能力</w:t>
            </w:r>
            <w:r>
              <w:rPr>
                <w:rFonts w:hint="eastAsia" w:ascii="宋体" w:hAnsi="宋体"/>
                <w:bCs/>
                <w:sz w:val="24"/>
              </w:rPr>
              <w:t>(m</w:t>
            </w:r>
            <w:r>
              <w:rPr>
                <w:rFonts w:hint="eastAsia" w:ascii="宋体" w:hAnsi="宋体"/>
                <w:bCs/>
                <w:sz w:val="24"/>
                <w:vertAlign w:val="superscript"/>
              </w:rPr>
              <w:t>3</w:t>
            </w:r>
            <w:r>
              <w:rPr>
                <w:rFonts w:ascii="宋体" w:hAnsi="宋体"/>
                <w:bCs/>
                <w:sz w:val="24"/>
              </w:rPr>
              <w:t>/h</w:t>
            </w:r>
            <w:r>
              <w:rPr>
                <w:rFonts w:hint="eastAsia" w:ascii="宋体" w:hAnsi="宋体"/>
                <w:bCs/>
                <w:sz w:val="24"/>
              </w:rPr>
              <w:t>)</w:t>
            </w:r>
          </w:p>
        </w:tc>
        <w:tc>
          <w:tcPr>
            <w:tcW w:w="4861" w:type="dxa"/>
            <w:vAlign w:val="center"/>
          </w:tcPr>
          <w:p>
            <w:pPr>
              <w:rPr>
                <w:rFonts w:ascii="宋体" w:hAnsi="宋体"/>
                <w:sz w:val="24"/>
              </w:rPr>
            </w:pPr>
            <w:r>
              <w:rPr>
                <w:rFonts w:hint="eastAsia" w:ascii="宋体" w:hAnsi="宋体"/>
                <w:sz w:val="24"/>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sz w:val="24"/>
              </w:rPr>
            </w:pPr>
            <w:r>
              <w:rPr>
                <w:rFonts w:hint="eastAsia" w:ascii="宋体" w:hAnsi="宋体"/>
                <w:bCs/>
                <w:sz w:val="24"/>
              </w:rPr>
              <w:t>装载容积(m</w:t>
            </w:r>
            <w:r>
              <w:rPr>
                <w:rFonts w:hint="eastAsia" w:ascii="宋体" w:hAnsi="宋体"/>
                <w:bCs/>
                <w:sz w:val="24"/>
                <w:vertAlign w:val="superscript"/>
              </w:rPr>
              <w:t>3</w:t>
            </w:r>
            <w:r>
              <w:rPr>
                <w:rFonts w:hint="eastAsia" w:ascii="宋体" w:hAnsi="宋体"/>
                <w:bCs/>
                <w:sz w:val="24"/>
              </w:rPr>
              <w:t>)</w:t>
            </w:r>
          </w:p>
        </w:tc>
        <w:tc>
          <w:tcPr>
            <w:tcW w:w="4861" w:type="dxa"/>
            <w:vAlign w:val="center"/>
          </w:tcPr>
          <w:p>
            <w:pPr>
              <w:rPr>
                <w:rFonts w:ascii="宋体" w:hAnsi="宋体"/>
                <w:sz w:val="24"/>
              </w:rPr>
            </w:pPr>
            <w:r>
              <w:rPr>
                <w:rFonts w:hint="eastAsia" w:ascii="宋体" w:hAnsi="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sz w:val="24"/>
              </w:rPr>
            </w:pPr>
            <w:r>
              <w:rPr>
                <w:rFonts w:hint="eastAsia" w:ascii="宋体" w:hAnsi="宋体"/>
                <w:bCs/>
                <w:sz w:val="24"/>
              </w:rPr>
              <w:t>满载时垃圾重量(</w:t>
            </w:r>
            <w:r>
              <w:rPr>
                <w:rFonts w:ascii="宋体" w:hAnsi="宋体"/>
                <w:bCs/>
                <w:sz w:val="24"/>
              </w:rPr>
              <w:t>t</w:t>
            </w:r>
            <w:r>
              <w:rPr>
                <w:rFonts w:hint="eastAsia" w:ascii="宋体" w:hAnsi="宋体"/>
                <w:bCs/>
                <w:sz w:val="24"/>
              </w:rPr>
              <w:t>)</w:t>
            </w:r>
          </w:p>
        </w:tc>
        <w:tc>
          <w:tcPr>
            <w:tcW w:w="4861" w:type="dxa"/>
            <w:vAlign w:val="center"/>
          </w:tcPr>
          <w:p>
            <w:pPr>
              <w:rPr>
                <w:rFonts w:ascii="宋体" w:hAnsi="宋体"/>
                <w:color w:val="000000"/>
                <w:sz w:val="24"/>
              </w:rPr>
            </w:pP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sz w:val="24"/>
              </w:rPr>
            </w:pPr>
            <w:r>
              <w:rPr>
                <w:rFonts w:hint="eastAsia" w:ascii="宋体" w:hAnsi="宋体"/>
                <w:bCs/>
                <w:sz w:val="24"/>
              </w:rPr>
              <w:t>垃圾最大密实度(t/m</w:t>
            </w:r>
            <w:r>
              <w:rPr>
                <w:rFonts w:hint="eastAsia" w:ascii="宋体" w:hAnsi="宋体"/>
                <w:bCs/>
                <w:sz w:val="24"/>
                <w:vertAlign w:val="superscript"/>
              </w:rPr>
              <w:t>3</w:t>
            </w:r>
            <w:r>
              <w:rPr>
                <w:rFonts w:hint="eastAsia" w:ascii="宋体" w:hAnsi="宋体"/>
                <w:bCs/>
                <w:sz w:val="24"/>
              </w:rPr>
              <w:t>)</w:t>
            </w:r>
          </w:p>
        </w:tc>
        <w:tc>
          <w:tcPr>
            <w:tcW w:w="4861" w:type="dxa"/>
            <w:vAlign w:val="center"/>
          </w:tcPr>
          <w:p>
            <w:pPr>
              <w:rPr>
                <w:rFonts w:ascii="宋体" w:hAnsi="宋体"/>
                <w:color w:val="000000"/>
                <w:sz w:val="24"/>
              </w:rPr>
            </w:pPr>
            <w:r>
              <w:rPr>
                <w:rFonts w:hint="eastAsia" w:ascii="宋体" w:hAnsi="宋体"/>
                <w:color w:val="000000"/>
                <w:sz w:val="24"/>
              </w:rPr>
              <w:t xml:space="preserve">≥0.75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sz w:val="24"/>
              </w:rPr>
            </w:pPr>
            <w:r>
              <w:rPr>
                <w:rFonts w:hint="eastAsia" w:ascii="宋体" w:hAnsi="宋体"/>
                <w:bCs/>
                <w:sz w:val="24"/>
              </w:rPr>
              <w:t>单行程压缩量(m</w:t>
            </w:r>
            <w:r>
              <w:rPr>
                <w:rFonts w:hint="eastAsia" w:ascii="宋体" w:hAnsi="宋体"/>
                <w:bCs/>
                <w:sz w:val="24"/>
                <w:vertAlign w:val="superscript"/>
              </w:rPr>
              <w:t>3</w:t>
            </w:r>
            <w:r>
              <w:rPr>
                <w:rFonts w:hint="eastAsia" w:ascii="宋体" w:hAnsi="宋体"/>
                <w:bCs/>
                <w:sz w:val="24"/>
              </w:rPr>
              <w:t>)</w:t>
            </w:r>
          </w:p>
        </w:tc>
        <w:tc>
          <w:tcPr>
            <w:tcW w:w="4861" w:type="dxa"/>
            <w:vAlign w:val="center"/>
          </w:tcPr>
          <w:p>
            <w:pPr>
              <w:rPr>
                <w:rFonts w:ascii="宋体" w:hAnsi="宋体"/>
                <w:color w:val="000000"/>
                <w:sz w:val="24"/>
              </w:rPr>
            </w:pPr>
            <w:r>
              <w:rPr>
                <w:rFonts w:hint="eastAsia" w:ascii="宋体" w:hAnsi="宋体"/>
                <w:color w:val="000000"/>
                <w:sz w:val="24"/>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bCs/>
                <w:sz w:val="24"/>
                <w:highlight w:val="yellow"/>
              </w:rPr>
            </w:pPr>
            <w:r>
              <w:rPr>
                <w:rFonts w:hint="eastAsia" w:ascii="宋体" w:hAnsi="宋体"/>
                <w:bCs/>
                <w:sz w:val="24"/>
              </w:rPr>
              <w:t>受料</w:t>
            </w:r>
            <w:r>
              <w:rPr>
                <w:rFonts w:ascii="宋体" w:hAnsi="宋体"/>
                <w:bCs/>
                <w:sz w:val="24"/>
              </w:rPr>
              <w:t>腔有效容积</w:t>
            </w:r>
            <w:r>
              <w:rPr>
                <w:rFonts w:hint="eastAsia" w:ascii="宋体" w:hAnsi="宋体"/>
                <w:bCs/>
                <w:sz w:val="24"/>
              </w:rPr>
              <w:t>(m</w:t>
            </w:r>
            <w:r>
              <w:rPr>
                <w:rFonts w:hint="eastAsia" w:ascii="宋体" w:hAnsi="宋体"/>
                <w:bCs/>
                <w:sz w:val="24"/>
                <w:vertAlign w:val="superscript"/>
              </w:rPr>
              <w:t>3</w:t>
            </w:r>
            <w:r>
              <w:rPr>
                <w:rFonts w:hint="eastAsia" w:ascii="宋体" w:hAnsi="宋体"/>
                <w:bCs/>
                <w:sz w:val="24"/>
              </w:rPr>
              <w:t>)</w:t>
            </w:r>
          </w:p>
        </w:tc>
        <w:tc>
          <w:tcPr>
            <w:tcW w:w="4861" w:type="dxa"/>
            <w:vAlign w:val="center"/>
          </w:tcPr>
          <w:p>
            <w:pPr>
              <w:rPr>
                <w:rFonts w:ascii="宋体" w:hAnsi="宋体"/>
                <w:color w:val="000000"/>
                <w:sz w:val="24"/>
              </w:rPr>
            </w:pPr>
            <w:r>
              <w:rPr>
                <w:rFonts w:hint="eastAsia" w:ascii="宋体" w:hAnsi="宋体"/>
                <w:color w:val="000000"/>
                <w:sz w:val="24"/>
              </w:rPr>
              <w:t>≥</w:t>
            </w:r>
            <w:r>
              <w:rPr>
                <w:rFonts w:ascii="宋体" w:hAnsi="宋体"/>
                <w:color w:val="000000"/>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sz w:val="24"/>
              </w:rPr>
            </w:pPr>
            <w:r>
              <w:rPr>
                <w:rFonts w:hint="eastAsia" w:ascii="宋体" w:hAnsi="宋体"/>
                <w:bCs/>
                <w:sz w:val="24"/>
              </w:rPr>
              <w:t>压缩推头工作表面积(m</w:t>
            </w:r>
            <w:r>
              <w:rPr>
                <w:rFonts w:hint="eastAsia" w:ascii="宋体" w:hAnsi="宋体"/>
                <w:bCs/>
                <w:sz w:val="24"/>
                <w:vertAlign w:val="superscript"/>
              </w:rPr>
              <w:t>2</w:t>
            </w:r>
            <w:r>
              <w:rPr>
                <w:rFonts w:hint="eastAsia" w:ascii="宋体" w:hAnsi="宋体"/>
                <w:bCs/>
                <w:sz w:val="24"/>
              </w:rPr>
              <w:t>)</w:t>
            </w:r>
          </w:p>
        </w:tc>
        <w:tc>
          <w:tcPr>
            <w:tcW w:w="4861" w:type="dxa"/>
            <w:vAlign w:val="center"/>
          </w:tcPr>
          <w:p>
            <w:pPr>
              <w:rPr>
                <w:rFonts w:ascii="宋体" w:hAnsi="宋体"/>
                <w:color w:val="000000"/>
                <w:sz w:val="24"/>
              </w:rPr>
            </w:pPr>
            <w:r>
              <w:rPr>
                <w:rFonts w:hint="eastAsia" w:ascii="宋体" w:hAnsi="宋体"/>
                <w:color w:val="000000"/>
                <w:sz w:val="24"/>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sz w:val="24"/>
              </w:rPr>
            </w:pPr>
            <w:r>
              <w:rPr>
                <w:rFonts w:hint="eastAsia" w:ascii="宋体" w:hAnsi="宋体"/>
                <w:bCs/>
                <w:sz w:val="24"/>
              </w:rPr>
              <w:t>压缩方式</w:t>
            </w:r>
          </w:p>
        </w:tc>
        <w:tc>
          <w:tcPr>
            <w:tcW w:w="4861" w:type="dxa"/>
            <w:vAlign w:val="center"/>
          </w:tcPr>
          <w:p>
            <w:pPr>
              <w:rPr>
                <w:rFonts w:ascii="宋体" w:hAnsi="宋体"/>
                <w:color w:val="000000"/>
                <w:sz w:val="24"/>
              </w:rPr>
            </w:pPr>
            <w:r>
              <w:rPr>
                <w:rFonts w:hint="eastAsia" w:ascii="宋体" w:hAnsi="宋体"/>
                <w:color w:val="000000"/>
                <w:sz w:val="24"/>
              </w:rPr>
              <w:t>双油缸剪刀叉型布置、水平压缩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sz w:val="24"/>
              </w:rPr>
            </w:pPr>
            <w:r>
              <w:rPr>
                <w:rFonts w:hint="eastAsia" w:ascii="宋体" w:hAnsi="宋体"/>
                <w:bCs/>
                <w:sz w:val="24"/>
              </w:rPr>
              <w:t>最大压缩力(</w:t>
            </w:r>
            <w:r>
              <w:rPr>
                <w:rFonts w:ascii="宋体" w:hAnsi="宋体"/>
                <w:bCs/>
                <w:sz w:val="24"/>
              </w:rPr>
              <w:t>k</w:t>
            </w:r>
            <w:r>
              <w:rPr>
                <w:rFonts w:hint="eastAsia" w:ascii="宋体" w:hAnsi="宋体"/>
                <w:bCs/>
                <w:sz w:val="24"/>
              </w:rPr>
              <w:t>N)</w:t>
            </w:r>
          </w:p>
        </w:tc>
        <w:tc>
          <w:tcPr>
            <w:tcW w:w="4861" w:type="dxa"/>
            <w:vAlign w:val="center"/>
          </w:tcPr>
          <w:p>
            <w:pPr>
              <w:rPr>
                <w:rFonts w:ascii="宋体" w:hAnsi="宋体"/>
                <w:color w:val="000000"/>
                <w:sz w:val="24"/>
              </w:rPr>
            </w:pPr>
            <w:r>
              <w:rPr>
                <w:rFonts w:hint="eastAsia" w:ascii="宋体" w:hAnsi="宋体"/>
                <w:color w:val="000000"/>
                <w:sz w:val="24"/>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bCs/>
                <w:sz w:val="24"/>
              </w:rPr>
            </w:pPr>
            <w:r>
              <w:rPr>
                <w:rFonts w:hint="eastAsia" w:ascii="宋体" w:hAnsi="宋体"/>
                <w:bCs/>
                <w:sz w:val="24"/>
              </w:rPr>
              <w:t>最大</w:t>
            </w:r>
            <w:r>
              <w:rPr>
                <w:rFonts w:ascii="宋体" w:hAnsi="宋体"/>
                <w:bCs/>
                <w:sz w:val="24"/>
              </w:rPr>
              <w:t>提料能力</w:t>
            </w:r>
            <w:r>
              <w:rPr>
                <w:rFonts w:hint="eastAsia" w:ascii="宋体" w:hAnsi="宋体"/>
                <w:bCs/>
                <w:sz w:val="24"/>
              </w:rPr>
              <w:t>（t</w:t>
            </w:r>
            <w:r>
              <w:rPr>
                <w:rFonts w:ascii="宋体" w:hAnsi="宋体"/>
                <w:bCs/>
                <w:sz w:val="24"/>
              </w:rPr>
              <w:t>）</w:t>
            </w:r>
          </w:p>
        </w:tc>
        <w:tc>
          <w:tcPr>
            <w:tcW w:w="4861" w:type="dxa"/>
            <w:vAlign w:val="center"/>
          </w:tcPr>
          <w:p>
            <w:pPr>
              <w:rPr>
                <w:rFonts w:ascii="宋体" w:hAnsi="宋体"/>
                <w:color w:val="000000"/>
                <w:sz w:val="24"/>
              </w:rPr>
            </w:pPr>
            <w:r>
              <w:rPr>
                <w:rFonts w:hint="eastAsia" w:ascii="宋体" w:hAnsi="宋体"/>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bCs/>
                <w:sz w:val="24"/>
              </w:rPr>
            </w:pPr>
            <w:r>
              <w:rPr>
                <w:rFonts w:hint="eastAsia" w:ascii="宋体" w:hAnsi="宋体"/>
                <w:bCs/>
                <w:sz w:val="24"/>
              </w:rPr>
              <w:t>液压</w:t>
            </w:r>
            <w:r>
              <w:rPr>
                <w:rFonts w:ascii="宋体" w:hAnsi="宋体"/>
                <w:bCs/>
                <w:sz w:val="24"/>
              </w:rPr>
              <w:t>系统最大压力</w:t>
            </w:r>
            <w:r>
              <w:rPr>
                <w:rFonts w:hint="eastAsia" w:ascii="宋体" w:hAnsi="宋体"/>
                <w:bCs/>
                <w:sz w:val="24"/>
              </w:rPr>
              <w:t>(</w:t>
            </w:r>
            <w:r>
              <w:rPr>
                <w:rFonts w:ascii="宋体" w:hAnsi="宋体"/>
                <w:bCs/>
                <w:sz w:val="24"/>
              </w:rPr>
              <w:t>Mpa</w:t>
            </w:r>
            <w:r>
              <w:rPr>
                <w:rFonts w:hint="eastAsia" w:ascii="宋体" w:hAnsi="宋体"/>
                <w:bCs/>
                <w:sz w:val="24"/>
              </w:rPr>
              <w:t>)</w:t>
            </w:r>
          </w:p>
        </w:tc>
        <w:tc>
          <w:tcPr>
            <w:tcW w:w="4861" w:type="dxa"/>
            <w:vAlign w:val="center"/>
          </w:tcPr>
          <w:p>
            <w:pPr>
              <w:rPr>
                <w:rFonts w:ascii="宋体" w:hAnsi="宋体"/>
                <w:color w:val="000000"/>
                <w:sz w:val="24"/>
              </w:rPr>
            </w:pPr>
            <w:r>
              <w:rPr>
                <w:rFonts w:hint="eastAsia"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bCs/>
                <w:sz w:val="24"/>
              </w:rPr>
            </w:pPr>
            <w:r>
              <w:rPr>
                <w:rFonts w:hint="eastAsia" w:ascii="宋体" w:hAnsi="宋体"/>
                <w:bCs/>
                <w:sz w:val="24"/>
              </w:rPr>
              <w:t>液压</w:t>
            </w:r>
            <w:r>
              <w:rPr>
                <w:rFonts w:ascii="宋体" w:hAnsi="宋体"/>
                <w:bCs/>
                <w:sz w:val="24"/>
              </w:rPr>
              <w:t>系统</w:t>
            </w:r>
            <w:r>
              <w:rPr>
                <w:rFonts w:hint="eastAsia" w:ascii="宋体" w:hAnsi="宋体"/>
                <w:bCs/>
                <w:sz w:val="24"/>
              </w:rPr>
              <w:t>额定</w:t>
            </w:r>
            <w:r>
              <w:rPr>
                <w:rFonts w:ascii="宋体" w:hAnsi="宋体"/>
                <w:bCs/>
                <w:sz w:val="24"/>
              </w:rPr>
              <w:t>工作压力</w:t>
            </w:r>
            <w:r>
              <w:rPr>
                <w:rFonts w:hint="eastAsia" w:ascii="宋体" w:hAnsi="宋体"/>
                <w:bCs/>
                <w:sz w:val="24"/>
              </w:rPr>
              <w:t>(</w:t>
            </w:r>
            <w:r>
              <w:rPr>
                <w:rFonts w:ascii="宋体" w:hAnsi="宋体"/>
                <w:bCs/>
                <w:sz w:val="24"/>
              </w:rPr>
              <w:t>Mpa</w:t>
            </w:r>
            <w:r>
              <w:rPr>
                <w:rFonts w:hint="eastAsia" w:ascii="宋体" w:hAnsi="宋体"/>
                <w:bCs/>
                <w:sz w:val="24"/>
              </w:rPr>
              <w:t>)</w:t>
            </w:r>
          </w:p>
        </w:tc>
        <w:tc>
          <w:tcPr>
            <w:tcW w:w="4861" w:type="dxa"/>
            <w:vAlign w:val="center"/>
          </w:tcPr>
          <w:p>
            <w:pPr>
              <w:rPr>
                <w:rFonts w:ascii="宋体" w:hAnsi="宋体"/>
                <w:color w:val="000000"/>
                <w:sz w:val="24"/>
              </w:rPr>
            </w:pPr>
            <w:r>
              <w:rPr>
                <w:rFonts w:hint="eastAsia" w:ascii="宋体" w:hAnsi="宋体"/>
                <w:color w:val="000000"/>
                <w:sz w:val="24"/>
              </w:rPr>
              <w:t>19～19.5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sz w:val="24"/>
              </w:rPr>
            </w:pPr>
            <w:r>
              <w:rPr>
                <w:rFonts w:hint="eastAsia" w:ascii="宋体" w:hAnsi="宋体"/>
                <w:bCs/>
                <w:sz w:val="24"/>
              </w:rPr>
              <w:t>一次压缩循环时间(s)</w:t>
            </w:r>
          </w:p>
        </w:tc>
        <w:tc>
          <w:tcPr>
            <w:tcW w:w="4861" w:type="dxa"/>
            <w:vAlign w:val="center"/>
          </w:tcPr>
          <w:p>
            <w:pPr>
              <w:rPr>
                <w:rFonts w:ascii="宋体" w:hAnsi="宋体"/>
                <w:color w:val="000000"/>
                <w:sz w:val="24"/>
              </w:rPr>
            </w:pPr>
            <w:r>
              <w:rPr>
                <w:rFonts w:hint="eastAsia" w:ascii="宋体" w:hAnsi="宋体"/>
                <w:color w:val="000000"/>
                <w:sz w:val="24"/>
              </w:rPr>
              <w:t xml:space="preserve">≤35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bCs/>
                <w:sz w:val="24"/>
              </w:rPr>
            </w:pPr>
            <w:r>
              <w:rPr>
                <w:rFonts w:hint="eastAsia" w:ascii="宋体" w:hAnsi="宋体"/>
                <w:bCs/>
                <w:sz w:val="24"/>
              </w:rPr>
              <w:t>料斗</w:t>
            </w:r>
            <w:r>
              <w:rPr>
                <w:rFonts w:ascii="宋体" w:hAnsi="宋体"/>
                <w:bCs/>
                <w:sz w:val="24"/>
              </w:rPr>
              <w:t>提升循环时间</w:t>
            </w:r>
            <w:r>
              <w:rPr>
                <w:rFonts w:hint="eastAsia" w:ascii="宋体" w:hAnsi="宋体"/>
                <w:bCs/>
                <w:sz w:val="24"/>
              </w:rPr>
              <w:t>(s)</w:t>
            </w:r>
          </w:p>
        </w:tc>
        <w:tc>
          <w:tcPr>
            <w:tcW w:w="4861" w:type="dxa"/>
            <w:vAlign w:val="center"/>
          </w:tcPr>
          <w:p>
            <w:pPr>
              <w:rPr>
                <w:rFonts w:ascii="宋体" w:hAnsi="宋体"/>
                <w:color w:val="000000"/>
                <w:sz w:val="24"/>
              </w:rPr>
            </w:pPr>
            <w:r>
              <w:rPr>
                <w:rFonts w:hint="eastAsia" w:ascii="宋体" w:hAnsi="宋体"/>
                <w:color w:val="000000"/>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bCs/>
                <w:sz w:val="24"/>
              </w:rPr>
            </w:pPr>
            <w:r>
              <w:rPr>
                <w:rFonts w:hint="eastAsia" w:ascii="宋体" w:hAnsi="宋体"/>
                <w:bCs/>
                <w:sz w:val="24"/>
              </w:rPr>
              <w:t>箱体</w:t>
            </w:r>
            <w:r>
              <w:rPr>
                <w:rFonts w:ascii="宋体" w:hAnsi="宋体"/>
                <w:bCs/>
                <w:sz w:val="24"/>
              </w:rPr>
              <w:t>壁厚（</w:t>
            </w:r>
            <w:r>
              <w:rPr>
                <w:rFonts w:hint="eastAsia" w:ascii="宋体" w:hAnsi="宋体"/>
                <w:bCs/>
                <w:sz w:val="24"/>
              </w:rPr>
              <w:t>mm</w:t>
            </w:r>
            <w:r>
              <w:rPr>
                <w:rFonts w:ascii="宋体" w:hAnsi="宋体"/>
                <w:bCs/>
                <w:sz w:val="24"/>
              </w:rPr>
              <w:t>）</w:t>
            </w:r>
          </w:p>
        </w:tc>
        <w:tc>
          <w:tcPr>
            <w:tcW w:w="4861" w:type="dxa"/>
            <w:vAlign w:val="center"/>
          </w:tcPr>
          <w:p>
            <w:pPr>
              <w:rPr>
                <w:rFonts w:ascii="宋体" w:hAnsi="宋体"/>
                <w:color w:val="000000"/>
                <w:sz w:val="24"/>
              </w:rPr>
            </w:pPr>
            <w:r>
              <w:rPr>
                <w:rFonts w:hint="eastAsia" w:ascii="宋体" w:hAnsi="宋体"/>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bCs/>
                <w:sz w:val="24"/>
              </w:rPr>
            </w:pPr>
            <w:r>
              <w:rPr>
                <w:rFonts w:hint="eastAsia" w:ascii="宋体" w:hAnsi="宋体"/>
                <w:bCs/>
                <w:sz w:val="24"/>
              </w:rPr>
              <w:t>系统噪声</w:t>
            </w:r>
            <w:r>
              <w:rPr>
                <w:rFonts w:ascii="宋体" w:hAnsi="宋体"/>
                <w:bCs/>
                <w:sz w:val="24"/>
              </w:rPr>
              <w:t>dB(A</w:t>
            </w:r>
            <w:r>
              <w:rPr>
                <w:rFonts w:hint="eastAsia" w:ascii="宋体" w:hAnsi="宋体"/>
                <w:bCs/>
                <w:sz w:val="24"/>
              </w:rPr>
              <w:t>)</w:t>
            </w:r>
          </w:p>
        </w:tc>
        <w:tc>
          <w:tcPr>
            <w:tcW w:w="4861" w:type="dxa"/>
            <w:vAlign w:val="center"/>
          </w:tcPr>
          <w:p>
            <w:pPr>
              <w:rPr>
                <w:rFonts w:ascii="宋体" w:hAnsi="宋体"/>
                <w:color w:val="000000"/>
                <w:sz w:val="24"/>
              </w:rPr>
            </w:pPr>
            <w:r>
              <w:rPr>
                <w:rFonts w:hint="eastAsia" w:ascii="宋体" w:hAnsi="宋体"/>
                <w:color w:val="000000"/>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bCs/>
                <w:sz w:val="24"/>
              </w:rPr>
            </w:pPr>
            <w:r>
              <w:rPr>
                <w:rFonts w:hint="eastAsia" w:ascii="宋体" w:hAnsi="宋体"/>
                <w:bCs/>
                <w:sz w:val="24"/>
              </w:rPr>
              <w:t>钩心离地</w:t>
            </w:r>
            <w:r>
              <w:rPr>
                <w:rFonts w:ascii="宋体" w:hAnsi="宋体"/>
                <w:bCs/>
                <w:sz w:val="24"/>
              </w:rPr>
              <w:t>高</w:t>
            </w:r>
            <w:r>
              <w:rPr>
                <w:rFonts w:hint="eastAsia" w:ascii="宋体" w:hAnsi="宋体"/>
                <w:bCs/>
                <w:sz w:val="24"/>
              </w:rPr>
              <w:t>（mm</w:t>
            </w:r>
            <w:r>
              <w:rPr>
                <w:rFonts w:ascii="宋体" w:hAnsi="宋体"/>
                <w:bCs/>
                <w:sz w:val="24"/>
              </w:rPr>
              <w:t>）</w:t>
            </w:r>
          </w:p>
        </w:tc>
        <w:tc>
          <w:tcPr>
            <w:tcW w:w="4861" w:type="dxa"/>
            <w:vAlign w:val="center"/>
          </w:tcPr>
          <w:p>
            <w:pPr>
              <w:rPr>
                <w:rFonts w:ascii="宋体" w:hAnsi="宋体"/>
                <w:color w:val="000000"/>
                <w:sz w:val="24"/>
              </w:rPr>
            </w:pPr>
            <w:r>
              <w:rPr>
                <w:rFonts w:hint="eastAsia" w:ascii="宋体" w:hAnsi="宋体"/>
                <w:color w:val="000000"/>
                <w:sz w:val="24"/>
              </w:rPr>
              <w:t>1570（0～+5）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bCs/>
                <w:sz w:val="24"/>
              </w:rPr>
            </w:pPr>
            <w:r>
              <w:rPr>
                <w:rFonts w:hint="eastAsia" w:ascii="宋体" w:hAnsi="宋体"/>
                <w:bCs/>
                <w:sz w:val="24"/>
              </w:rPr>
              <w:t>设备</w:t>
            </w:r>
            <w:r>
              <w:rPr>
                <w:rFonts w:ascii="宋体" w:hAnsi="宋体"/>
                <w:bCs/>
                <w:sz w:val="24"/>
              </w:rPr>
              <w:t>上下车最大高度</w:t>
            </w:r>
            <w:r>
              <w:rPr>
                <w:rFonts w:hint="eastAsia" w:ascii="宋体" w:hAnsi="宋体"/>
                <w:bCs/>
                <w:sz w:val="24"/>
              </w:rPr>
              <w:t>（mm</w:t>
            </w:r>
            <w:r>
              <w:rPr>
                <w:rFonts w:ascii="宋体" w:hAnsi="宋体"/>
                <w:bCs/>
                <w:sz w:val="24"/>
              </w:rPr>
              <w:t>）</w:t>
            </w:r>
          </w:p>
        </w:tc>
        <w:tc>
          <w:tcPr>
            <w:tcW w:w="4861" w:type="dxa"/>
            <w:vAlign w:val="center"/>
          </w:tcPr>
          <w:p>
            <w:pPr>
              <w:rPr>
                <w:rFonts w:ascii="宋体" w:hAnsi="宋体"/>
                <w:color w:val="000000"/>
                <w:sz w:val="24"/>
              </w:rPr>
            </w:pPr>
            <w:r>
              <w:rPr>
                <w:rFonts w:hint="eastAsia" w:ascii="宋体" w:hAnsi="宋体"/>
                <w:color w:val="000000"/>
                <w:sz w:val="24"/>
              </w:rPr>
              <w:t>4480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bCs/>
                <w:sz w:val="24"/>
              </w:rPr>
            </w:pPr>
            <w:r>
              <w:rPr>
                <w:rFonts w:hint="eastAsia" w:ascii="宋体" w:hAnsi="宋体"/>
                <w:bCs/>
                <w:sz w:val="24"/>
              </w:rPr>
              <w:t>箱体</w:t>
            </w:r>
            <w:r>
              <w:rPr>
                <w:rFonts w:ascii="宋体" w:hAnsi="宋体"/>
                <w:bCs/>
                <w:sz w:val="24"/>
              </w:rPr>
              <w:t>滚轮外边缘宽度（</w:t>
            </w:r>
            <w:r>
              <w:rPr>
                <w:rFonts w:hint="eastAsia" w:ascii="宋体" w:hAnsi="宋体"/>
                <w:bCs/>
                <w:sz w:val="24"/>
              </w:rPr>
              <w:t>mm</w:t>
            </w:r>
            <w:r>
              <w:rPr>
                <w:rFonts w:ascii="宋体" w:hAnsi="宋体"/>
                <w:bCs/>
                <w:sz w:val="24"/>
              </w:rPr>
              <w:t>）</w:t>
            </w:r>
          </w:p>
        </w:tc>
        <w:tc>
          <w:tcPr>
            <w:tcW w:w="4861" w:type="dxa"/>
            <w:vAlign w:val="center"/>
          </w:tcPr>
          <w:p>
            <w:pPr>
              <w:rPr>
                <w:rFonts w:ascii="宋体" w:hAnsi="宋体"/>
                <w:color w:val="000000"/>
                <w:sz w:val="24"/>
              </w:rPr>
            </w:pPr>
            <w:r>
              <w:rPr>
                <w:rFonts w:hint="eastAsia" w:ascii="宋体" w:hAnsi="宋体"/>
                <w:color w:val="000000"/>
                <w:sz w:val="24"/>
              </w:rPr>
              <w:t>2040±5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sz w:val="24"/>
              </w:rPr>
            </w:pPr>
            <w:r>
              <w:rPr>
                <w:rFonts w:hint="eastAsia" w:ascii="宋体" w:hAnsi="宋体"/>
                <w:bCs/>
                <w:sz w:val="24"/>
              </w:rPr>
              <w:t>垃圾提升装置</w:t>
            </w:r>
          </w:p>
        </w:tc>
        <w:tc>
          <w:tcPr>
            <w:tcW w:w="4861" w:type="dxa"/>
            <w:vAlign w:val="center"/>
          </w:tcPr>
          <w:p>
            <w:pPr>
              <w:rPr>
                <w:rFonts w:ascii="宋体" w:hAnsi="宋体"/>
                <w:color w:val="000000"/>
                <w:sz w:val="24"/>
              </w:rPr>
            </w:pPr>
            <w:r>
              <w:rPr>
                <w:rFonts w:hint="eastAsia" w:ascii="宋体" w:hAnsi="宋体"/>
                <w:color w:val="000000"/>
                <w:sz w:val="24"/>
              </w:rPr>
              <w:t>可提升容积为3.5m</w:t>
            </w:r>
            <w:r>
              <w:rPr>
                <w:rFonts w:hint="eastAsia" w:ascii="宋体" w:hAnsi="宋体"/>
                <w:color w:val="000000"/>
                <w:sz w:val="24"/>
                <w:vertAlign w:val="superscript"/>
              </w:rPr>
              <w:t>3</w:t>
            </w:r>
            <w:r>
              <w:rPr>
                <w:rFonts w:hint="eastAsia" w:ascii="宋体" w:hAnsi="宋体"/>
                <w:color w:val="000000"/>
                <w:sz w:val="24"/>
              </w:rPr>
              <w:t>受料斗装置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sz w:val="24"/>
              </w:rPr>
            </w:pPr>
            <w:r>
              <w:rPr>
                <w:rFonts w:hint="eastAsia" w:ascii="宋体" w:hAnsi="宋体"/>
                <w:bCs/>
                <w:sz w:val="24"/>
              </w:rPr>
              <w:t>外接电源电压(V)</w:t>
            </w:r>
          </w:p>
        </w:tc>
        <w:tc>
          <w:tcPr>
            <w:tcW w:w="4861" w:type="dxa"/>
            <w:vAlign w:val="center"/>
          </w:tcPr>
          <w:p>
            <w:pPr>
              <w:rPr>
                <w:rFonts w:ascii="宋体" w:hAnsi="宋体"/>
                <w:color w:val="000000"/>
                <w:sz w:val="24"/>
              </w:rPr>
            </w:pPr>
            <w:r>
              <w:rPr>
                <w:rFonts w:hint="eastAsia" w:ascii="宋体" w:hAnsi="宋体"/>
                <w:color w:val="000000"/>
                <w:sz w:val="24"/>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058" w:type="dxa"/>
          </w:tcPr>
          <w:p>
            <w:pPr>
              <w:rPr>
                <w:rFonts w:ascii="宋体" w:hAnsi="宋体"/>
                <w:sz w:val="24"/>
              </w:rPr>
            </w:pPr>
            <w:r>
              <w:rPr>
                <w:rFonts w:hint="eastAsia" w:ascii="宋体" w:hAnsi="宋体"/>
                <w:bCs/>
                <w:sz w:val="24"/>
              </w:rPr>
              <w:t>电动机功率(kw)</w:t>
            </w:r>
          </w:p>
        </w:tc>
        <w:tc>
          <w:tcPr>
            <w:tcW w:w="4861" w:type="dxa"/>
            <w:vAlign w:val="center"/>
          </w:tcPr>
          <w:p>
            <w:pPr>
              <w:rPr>
                <w:rFonts w:ascii="宋体" w:hAnsi="宋体"/>
                <w:color w:val="000000"/>
                <w:sz w:val="24"/>
              </w:rPr>
            </w:pPr>
            <w:r>
              <w:rPr>
                <w:rFonts w:hint="eastAsia" w:ascii="宋体" w:hAnsi="宋体"/>
                <w:color w:val="000000"/>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058" w:type="dxa"/>
          </w:tcPr>
          <w:p>
            <w:pPr>
              <w:rPr>
                <w:rFonts w:ascii="宋体" w:hAnsi="宋体"/>
                <w:sz w:val="24"/>
              </w:rPr>
            </w:pPr>
            <w:r>
              <w:rPr>
                <w:rFonts w:hint="eastAsia" w:ascii="宋体" w:hAnsi="宋体"/>
                <w:bCs/>
                <w:sz w:val="24"/>
              </w:rPr>
              <w:t>后门启闭方式</w:t>
            </w:r>
          </w:p>
        </w:tc>
        <w:tc>
          <w:tcPr>
            <w:tcW w:w="4861" w:type="dxa"/>
            <w:vAlign w:val="center"/>
          </w:tcPr>
          <w:p>
            <w:pPr>
              <w:rPr>
                <w:rFonts w:ascii="宋体" w:hAnsi="宋体"/>
                <w:color w:val="000000"/>
                <w:sz w:val="24"/>
              </w:rPr>
            </w:pPr>
            <w:r>
              <w:rPr>
                <w:rFonts w:hint="eastAsia" w:ascii="宋体" w:hAnsi="宋体"/>
                <w:color w:val="000000"/>
                <w:sz w:val="24"/>
              </w:rPr>
              <w:t>采用底盘动力，快换接头插接控制液压油缸启闭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058" w:type="dxa"/>
          </w:tcPr>
          <w:p>
            <w:pPr>
              <w:rPr>
                <w:rFonts w:ascii="宋体" w:hAnsi="宋体"/>
                <w:sz w:val="24"/>
              </w:rPr>
            </w:pPr>
            <w:r>
              <w:rPr>
                <w:rFonts w:hint="eastAsia" w:ascii="宋体" w:hAnsi="宋体"/>
                <w:bCs/>
                <w:sz w:val="24"/>
              </w:rPr>
              <w:t>操作方式</w:t>
            </w:r>
          </w:p>
        </w:tc>
        <w:tc>
          <w:tcPr>
            <w:tcW w:w="4861" w:type="dxa"/>
            <w:vAlign w:val="center"/>
          </w:tcPr>
          <w:p>
            <w:pPr>
              <w:rPr>
                <w:rFonts w:ascii="宋体" w:hAnsi="宋体"/>
                <w:color w:val="000000"/>
                <w:sz w:val="24"/>
              </w:rPr>
            </w:pPr>
            <w:r>
              <w:rPr>
                <w:rFonts w:hint="eastAsia" w:ascii="宋体" w:hAnsi="宋体"/>
                <w:color w:val="000000"/>
                <w:sz w:val="24"/>
              </w:rPr>
              <w:t>面板控制、线控</w:t>
            </w:r>
          </w:p>
        </w:tc>
      </w:tr>
    </w:tbl>
    <w:p>
      <w:pPr>
        <w:numPr>
          <w:ilvl w:val="0"/>
          <w:numId w:val="4"/>
        </w:numPr>
        <w:spacing w:line="360" w:lineRule="auto"/>
        <w:rPr>
          <w:rFonts w:ascii="宋体" w:hAnsi="宋体"/>
          <w:b/>
          <w:sz w:val="32"/>
          <w:szCs w:val="32"/>
        </w:rPr>
      </w:pPr>
      <w:r>
        <w:rPr>
          <w:rFonts w:cs="宋体"/>
          <w:b/>
          <w:sz w:val="28"/>
          <w:szCs w:val="28"/>
        </w:rPr>
        <w:t>技术参数及要求</w:t>
      </w:r>
    </w:p>
    <w:p>
      <w:pPr>
        <w:rPr>
          <w:rFonts w:ascii="宋体" w:hAnsi="宋体"/>
          <w:b/>
          <w:bCs/>
          <w:sz w:val="28"/>
          <w:szCs w:val="28"/>
        </w:rPr>
      </w:pPr>
      <w:r>
        <w:rPr>
          <w:rFonts w:hint="eastAsia" w:ascii="宋体" w:hAnsi="宋体"/>
          <w:b/>
          <w:bCs/>
          <w:sz w:val="28"/>
          <w:szCs w:val="28"/>
        </w:rPr>
        <w:t>主要性能描述</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（1）箱体整体轻量化设计采用高强度耐磨钢板及高强度耐候钢板整体焊接制作而成，压缩箱与垃圾箱采用无框架连接，加强筋少，外形美观，自重轻，结构强度高，耐腐蚀；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压缩机构采用轻量化设计，联动板整体折弯而成，强度好、自重轻、焊接少，压缩头采用双曲线形设计，采用高强度耐磨钢板及高强度钢板整体焊接而成，有效提高压缩头对垃圾的破碎与压缩效率，油缸交叉布置，采用开放式铰接座，有效降低了维修的难度；</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3）配备自动强制风冷器对液压系统进行温度控制，当温度达到设计值时，风冷器自动运行已达到降低油温，当油温小于设定值时，风冷器自动关闭，节约用电，风冷器与仓门紧密贴合，有效的排除仓内热风，高温季节可露天进行大负荷连续垃圾送料、压缩；</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（4）配置安全保障装置，安全装置包括： </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A.配备总电源钥匙锁和全箱紧急停止按钮，提高作业安全性能；</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B.摆臂油缸配备有安全装置，保证料斗在动作过程中不会因为突然爆管而引起料斗下降的安全隐患</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（5）采用文本PLC微电脑控制，系统运行稳定可靠、智能化程度高。各动作间多重互锁，设备运行一键式操作，具备生产运行参数可调功能，可根据垃圾装载情况自动调整压缩程序；</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6）通过文本显示屏实时监控系统当前运行情况，箱体满载指示，实时显示系统压力、设备运行状态；具备设备异常自诊断及故障报警声光提醒与文字显示功能，方便操作与维修人员判断设备异常原因并及时准确检修处理；具备保养分阶段提示功能，保证设备处于最佳运行状态；具有系统整体运行情况及故障报警情况的记录汇总与统计分析功能，更容易对设备整体运行情况进行监督管理；</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（7）箱体后门密封液控双重锁钩锁紧装置，后门密封可调节装置，确保运输过程中不会发生二次污染；</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（8）采用底盘液压驱动(或选装动力单元液压驱动)，控制液压油缸启闭后门，在驾驶室内即可操作完成后门的启闭及垃圾倾卸；</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（9）上料机构具有自动缓冲装置，避免上料作业时受料斗与地面的冲击 以及受料斗翻转到位对箱体的冲击； </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（10）受料斗有效容积3.5立方，采用整体压筋拼焊而成，加强筋少，自重轻，可与更多类型的散装垃圾收运车辆对接（包括垃圾箱容积为3立方左右的自卸式垃圾车），适用性更好。</w:t>
      </w:r>
    </w:p>
    <w:p>
      <w:pPr>
        <w:pStyle w:val="10"/>
        <w:spacing w:line="360" w:lineRule="auto"/>
        <w:rPr>
          <w:rFonts w:hAnsi="宋体" w:cs="宋体"/>
          <w:b/>
        </w:rPr>
      </w:pPr>
      <w:bookmarkStart w:id="2" w:name="_Toc28550"/>
      <w:r>
        <w:rPr>
          <w:rFonts w:hint="eastAsia" w:hAnsi="宋体" w:cs="宋体"/>
          <w:b/>
        </w:rPr>
        <w:t>三、商务要求</w:t>
      </w:r>
    </w:p>
    <w:p>
      <w:pPr>
        <w:snapToGrid w:val="0"/>
        <w:spacing w:line="360" w:lineRule="auto"/>
        <w:rPr>
          <w:rFonts w:ascii="宋体" w:hAnsi="宋体" w:cs="宋体"/>
          <w:b/>
          <w:bCs/>
          <w:sz w:val="24"/>
        </w:rPr>
      </w:pPr>
      <w:r>
        <w:rPr>
          <w:rFonts w:hint="eastAsia" w:ascii="宋体" w:hAnsi="宋体" w:cs="宋体"/>
          <w:b/>
          <w:bCs/>
          <w:sz w:val="24"/>
        </w:rPr>
        <w:t>1、项目投标报价要求</w:t>
      </w:r>
    </w:p>
    <w:p>
      <w:pPr>
        <w:snapToGrid w:val="0"/>
        <w:spacing w:line="360" w:lineRule="auto"/>
        <w:ind w:left="210" w:leftChars="100" w:firstLine="240" w:firstLineChars="100"/>
        <w:rPr>
          <w:rFonts w:ascii="宋体" w:hAnsi="宋体" w:cs="宋体"/>
          <w:sz w:val="24"/>
        </w:rPr>
      </w:pPr>
      <w:r>
        <w:rPr>
          <w:rFonts w:hint="eastAsia" w:ascii="宋体" w:hAnsi="宋体" w:cs="宋体"/>
          <w:sz w:val="24"/>
        </w:rPr>
        <w:t>（1）投标报价应包含完成本项目合同内容所涉及的全部费用，包含但不仅限于所</w:t>
      </w:r>
    </w:p>
    <w:p>
      <w:pPr>
        <w:snapToGrid w:val="0"/>
        <w:spacing w:line="360" w:lineRule="auto"/>
        <w:rPr>
          <w:rFonts w:ascii="宋体" w:hAnsi="宋体" w:cs="宋体"/>
          <w:sz w:val="24"/>
        </w:rPr>
      </w:pPr>
      <w:r>
        <w:rPr>
          <w:rFonts w:hint="eastAsia" w:ascii="宋体" w:hAnsi="宋体" w:cs="宋体"/>
          <w:sz w:val="24"/>
        </w:rPr>
        <w:t>需软件的设计、开发、优化、安装、平台对接、上线调试、试运行管理、技术培训、验收配合、第三方检测（如需）、售后服务以及完成采购需求所涉及的其他一切内容所需的全部费用，以及税金、人工费、管理费、合理利润、风险费、投标费用、招标代理费等一切成本及费用。谈判响应方的谈判报价为整个采购项目的总报价，如有漏项，视同已包含在项目中，合同总价不做调整。</w:t>
      </w:r>
    </w:p>
    <w:p>
      <w:pPr>
        <w:snapToGrid w:val="0"/>
        <w:spacing w:line="360" w:lineRule="auto"/>
        <w:ind w:left="210" w:leftChars="100" w:firstLine="240" w:firstLineChars="100"/>
        <w:rPr>
          <w:rFonts w:ascii="宋体" w:hAnsi="宋体" w:cs="宋体"/>
          <w:sz w:val="24"/>
        </w:rPr>
      </w:pPr>
      <w:r>
        <w:rPr>
          <w:rFonts w:hint="eastAsia" w:ascii="宋体" w:hAnsi="宋体" w:cs="宋体"/>
          <w:sz w:val="24"/>
        </w:rPr>
        <w:t>（2）按国家规定由中标人缴纳的各种税收已包含在投标总价内，由中标人向税务</w:t>
      </w:r>
    </w:p>
    <w:p>
      <w:pPr>
        <w:snapToGrid w:val="0"/>
        <w:spacing w:line="360" w:lineRule="auto"/>
        <w:rPr>
          <w:rFonts w:ascii="宋体" w:hAnsi="宋体" w:cs="宋体"/>
          <w:sz w:val="24"/>
        </w:rPr>
      </w:pPr>
      <w:r>
        <w:rPr>
          <w:rFonts w:hint="eastAsia" w:ascii="宋体" w:hAnsi="宋体" w:cs="宋体"/>
          <w:sz w:val="24"/>
        </w:rPr>
        <w:t>机关缴纳。</w:t>
      </w:r>
    </w:p>
    <w:p>
      <w:pPr>
        <w:snapToGrid w:val="0"/>
        <w:spacing w:line="360" w:lineRule="auto"/>
        <w:rPr>
          <w:rFonts w:ascii="宋体" w:hAnsi="宋体" w:cs="宋体"/>
          <w:b/>
          <w:bCs/>
          <w:kern w:val="0"/>
          <w:sz w:val="24"/>
        </w:rPr>
      </w:pPr>
      <w:r>
        <w:rPr>
          <w:rFonts w:hint="eastAsia" w:ascii="宋体" w:hAnsi="宋体" w:cs="宋体"/>
          <w:b/>
          <w:bCs/>
          <w:kern w:val="0"/>
          <w:sz w:val="24"/>
        </w:rPr>
        <w:t>2、售后服务要求</w:t>
      </w:r>
    </w:p>
    <w:p>
      <w:pPr>
        <w:snapToGrid w:val="0"/>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服务响应及维护：提供7×24×365全天侯服务，及时解决故障。电话半小时内必须响应，现场排除故障响应时间小于8小时，24小时内恢复系统正常运行。重大技术问题，技术专家2小时内抵达现场，4小时内给予解决；若短期无法解决的，应及时提供应急措施，并提出书面解决方案报采购人批准。</w:t>
      </w:r>
    </w:p>
    <w:p>
      <w:pPr>
        <w:snapToGrid w:val="0"/>
        <w:spacing w:line="360" w:lineRule="auto"/>
        <w:ind w:firstLine="480" w:firstLineChars="200"/>
        <w:rPr>
          <w:rFonts w:ascii="宋体" w:hAnsi="宋体" w:cs="宋体"/>
          <w:b/>
          <w:bCs/>
          <w:sz w:val="24"/>
        </w:rPr>
      </w:pPr>
      <w:r>
        <w:rPr>
          <w:rFonts w:hint="eastAsia" w:ascii="宋体" w:hAnsi="宋体" w:cs="宋体"/>
          <w:sz w:val="24"/>
        </w:rPr>
        <w:t>（2）</w:t>
      </w:r>
      <w:r>
        <w:rPr>
          <w:rFonts w:hint="eastAsia" w:ascii="宋体" w:hAnsi="宋体" w:cs="宋体"/>
          <w:kern w:val="0"/>
          <w:sz w:val="24"/>
        </w:rPr>
        <w:t>投标人必须保证解决项目所涉及的技术问题，如因技术原因无法满足采购人需求，由此产生的风险由投标人承担。</w:t>
      </w:r>
    </w:p>
    <w:p>
      <w:pPr>
        <w:snapToGrid w:val="0"/>
        <w:spacing w:line="360" w:lineRule="auto"/>
        <w:rPr>
          <w:rFonts w:ascii="宋体" w:hAnsi="宋体" w:cs="宋体"/>
          <w:b/>
          <w:bCs/>
          <w:sz w:val="24"/>
        </w:rPr>
      </w:pPr>
      <w:r>
        <w:rPr>
          <w:rFonts w:hint="eastAsia" w:ascii="宋体" w:hAnsi="宋体" w:cs="宋体"/>
          <w:b/>
          <w:bCs/>
          <w:sz w:val="24"/>
        </w:rPr>
        <w:t>3、质保期、工期</w:t>
      </w:r>
    </w:p>
    <w:p>
      <w:pPr>
        <w:snapToGrid w:val="0"/>
        <w:spacing w:line="360" w:lineRule="auto"/>
        <w:ind w:left="210" w:leftChars="100" w:firstLine="241" w:firstLineChars="100"/>
        <w:rPr>
          <w:rFonts w:ascii="宋体" w:hAnsi="宋体" w:cs="宋体"/>
          <w:b/>
          <w:bCs/>
          <w:sz w:val="24"/>
        </w:rPr>
      </w:pPr>
      <w:r>
        <w:rPr>
          <w:rFonts w:hint="eastAsia" w:ascii="宋体" w:hAnsi="宋体" w:cs="宋体"/>
          <w:b/>
          <w:bCs/>
          <w:sz w:val="24"/>
        </w:rPr>
        <w:t>（1）质保期：1年；免费保修期：3年。</w:t>
      </w:r>
    </w:p>
    <w:p>
      <w:pPr>
        <w:snapToGrid w:val="0"/>
        <w:spacing w:line="360" w:lineRule="auto"/>
        <w:ind w:left="210" w:leftChars="100" w:firstLine="241" w:firstLineChars="100"/>
        <w:rPr>
          <w:rFonts w:ascii="宋体" w:hAnsi="宋体" w:cs="宋体"/>
          <w:sz w:val="24"/>
        </w:rPr>
      </w:pPr>
      <w:r>
        <w:rPr>
          <w:rFonts w:hint="eastAsia" w:ascii="宋体" w:hAnsi="宋体" w:cs="宋体"/>
          <w:b/>
          <w:bCs/>
          <w:sz w:val="24"/>
        </w:rPr>
        <w:t>（2）工期：10月</w:t>
      </w:r>
      <w:r>
        <w:rPr>
          <w:rFonts w:ascii="宋体" w:hAnsi="宋体" w:cs="宋体"/>
          <w:b/>
          <w:bCs/>
          <w:sz w:val="24"/>
        </w:rPr>
        <w:t>15</w:t>
      </w:r>
      <w:r>
        <w:rPr>
          <w:rFonts w:hint="eastAsia" w:ascii="宋体" w:hAnsi="宋体" w:cs="宋体"/>
          <w:b/>
          <w:bCs/>
          <w:sz w:val="24"/>
        </w:rPr>
        <w:t>日</w:t>
      </w:r>
      <w:r>
        <w:rPr>
          <w:rFonts w:hint="eastAsia" w:ascii="宋体" w:hAnsi="宋体"/>
          <w:b/>
          <w:bCs/>
          <w:sz w:val="24"/>
        </w:rPr>
        <w:t>前安装调试完毕</w:t>
      </w:r>
      <w:r>
        <w:rPr>
          <w:rFonts w:hint="eastAsia" w:ascii="宋体" w:hAnsi="宋体" w:cs="宋体"/>
          <w:b/>
          <w:bCs/>
          <w:sz w:val="24"/>
        </w:rPr>
        <w:t>。</w:t>
      </w:r>
      <w:bookmarkStart w:id="3" w:name="_Toc225061454"/>
    </w:p>
    <w:p>
      <w:pPr>
        <w:pStyle w:val="53"/>
        <w:spacing w:before="78" w:after="78"/>
        <w:jc w:val="left"/>
        <w:rPr>
          <w:rFonts w:ascii="宋体" w:hAnsi="宋体" w:cs="宋体"/>
          <w:b/>
          <w:bCs/>
          <w:szCs w:val="24"/>
        </w:rPr>
      </w:pPr>
      <w:r>
        <w:rPr>
          <w:rFonts w:hint="eastAsia" w:ascii="宋体" w:hAnsi="宋体" w:cs="宋体"/>
          <w:b/>
          <w:bCs/>
          <w:szCs w:val="24"/>
        </w:rPr>
        <w:t>4、付款方式</w:t>
      </w:r>
    </w:p>
    <w:p>
      <w:pPr>
        <w:spacing w:line="360" w:lineRule="auto"/>
        <w:ind w:firstLine="480" w:firstLineChars="200"/>
        <w:rPr>
          <w:rFonts w:ascii="宋体" w:hAnsi="宋体"/>
          <w:sz w:val="24"/>
        </w:rPr>
      </w:pPr>
      <w:r>
        <w:rPr>
          <w:rFonts w:hint="eastAsia" w:ascii="宋体" w:hAnsi="宋体"/>
          <w:sz w:val="24"/>
        </w:rPr>
        <w:t>货款由采购人自行支付。全部货物安装完毕并验收合格后付至合同总额的95%；留5%作为质量保证金，在质保期履行满1年后10日内付清。</w:t>
      </w:r>
    </w:p>
    <w:p>
      <w:pPr>
        <w:snapToGrid w:val="0"/>
        <w:spacing w:line="360" w:lineRule="auto"/>
        <w:ind w:left="210" w:leftChars="100" w:firstLine="480" w:firstLineChars="200"/>
        <w:rPr>
          <w:rFonts w:ascii="宋体" w:hAnsi="宋体" w:cs="宋体"/>
          <w:sz w:val="24"/>
        </w:rPr>
      </w:pPr>
    </w:p>
    <w:bookmarkEnd w:id="3"/>
    <w:p>
      <w:pPr>
        <w:pStyle w:val="44"/>
        <w:pageBreakBefore/>
        <w:snapToGrid w:val="0"/>
        <w:spacing w:line="360" w:lineRule="auto"/>
        <w:jc w:val="center"/>
        <w:outlineLvl w:val="0"/>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 xml:space="preserve">第三章  </w:t>
      </w:r>
      <w:bookmarkEnd w:id="2"/>
      <w:bookmarkStart w:id="4" w:name="_Toc10818"/>
      <w:r>
        <w:rPr>
          <w:rFonts w:hint="eastAsia" w:asciiTheme="minorEastAsia" w:hAnsiTheme="minorEastAsia" w:eastAsiaTheme="minorEastAsia"/>
          <w:b/>
          <w:sz w:val="32"/>
          <w:szCs w:val="32"/>
        </w:rPr>
        <w:t>竞争性谈判须知</w:t>
      </w:r>
      <w:bookmarkEnd w:id="4"/>
    </w:p>
    <w:p>
      <w:pPr>
        <w:spacing w:line="360" w:lineRule="auto"/>
        <w:jc w:val="center"/>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前附表</w:t>
      </w:r>
    </w:p>
    <w:tbl>
      <w:tblPr>
        <w:tblStyle w:val="21"/>
        <w:tblW w:w="9542" w:type="dxa"/>
        <w:jc w:val="center"/>
        <w:tblLayout w:type="fixed"/>
        <w:tblCellMar>
          <w:top w:w="0" w:type="dxa"/>
          <w:left w:w="108" w:type="dxa"/>
          <w:bottom w:w="0" w:type="dxa"/>
          <w:right w:w="108" w:type="dxa"/>
        </w:tblCellMar>
      </w:tblPr>
      <w:tblGrid>
        <w:gridCol w:w="778"/>
        <w:gridCol w:w="8764"/>
      </w:tblGrid>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序号</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内容、要求</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浙江广厦建设职业技术大学移动式垃圾压缩机</w:t>
            </w:r>
          </w:p>
        </w:tc>
      </w:tr>
      <w:tr>
        <w:tblPrEx>
          <w:tblCellMar>
            <w:top w:w="0" w:type="dxa"/>
            <w:left w:w="108" w:type="dxa"/>
            <w:bottom w:w="0" w:type="dxa"/>
            <w:right w:w="108" w:type="dxa"/>
          </w:tblCellMar>
        </w:tblPrEx>
        <w:trPr>
          <w:trHeight w:val="20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谈判报价及费用：1、本项目谈判应以人民币报价；2、不论谈判结果如何，谈判响应方均应自行承担所有与谈判有关的全部费用；</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答疑与澄清：投标截止时间1日前，招标人在公告栏上以书面形式公布招标文件的澄清或修改，并通知所有的投标人。</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cs="宋体"/>
                <w:sz w:val="24"/>
              </w:rPr>
            </w:pPr>
            <w:r>
              <w:rPr>
                <w:rFonts w:hint="eastAsia" w:ascii="宋体" w:hAnsi="宋体" w:cs="宋体"/>
                <w:sz w:val="24"/>
              </w:rPr>
              <w:t>本项目谈判响应文件由《资格审查文件》、《商务技术文件》和《报价文件》三部分组成（统一以PDF的格式），谈判响应方应按以下方式递交谈判响应文件：</w:t>
            </w:r>
          </w:p>
          <w:p>
            <w:pPr>
              <w:spacing w:line="460" w:lineRule="exact"/>
              <w:rPr>
                <w:rFonts w:ascii="宋体" w:hAnsi="宋体" w:cs="宋体"/>
                <w:sz w:val="24"/>
              </w:rPr>
            </w:pPr>
            <w:r>
              <w:rPr>
                <w:rFonts w:hint="eastAsia" w:ascii="宋体" w:hAnsi="宋体" w:cs="宋体"/>
                <w:sz w:val="24"/>
              </w:rPr>
              <w:t>谈判响应文件的递交：</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sz w:val="24"/>
              </w:rPr>
              <w:t>谈判响应方可以在谈判截止时间前将电子谈判响应文件发送至邮箱：</w:t>
            </w:r>
            <w:r>
              <w:rPr>
                <w:rFonts w:hint="eastAsia" w:ascii="宋体" w:hAnsi="宋体" w:cs="宋体"/>
                <w:color w:val="000000" w:themeColor="text1"/>
                <w:sz w:val="24"/>
                <w14:textFill>
                  <w14:solidFill>
                    <w14:schemeClr w14:val="tx1"/>
                  </w14:solidFill>
                </w14:textFill>
              </w:rPr>
              <w:t>953715462</w:t>
            </w:r>
            <w:r>
              <w:rPr>
                <w:rFonts w:ascii="宋体" w:hAnsi="宋体" w:cs="宋体"/>
                <w:color w:val="000000" w:themeColor="text1"/>
                <w:sz w:val="24"/>
                <w14:textFill>
                  <w14:solidFill>
                    <w14:schemeClr w14:val="tx1"/>
                  </w14:solidFill>
                </w14:textFill>
              </w:rPr>
              <w:t>@qq.com</w:t>
            </w:r>
            <w:r>
              <w:rPr>
                <w:rFonts w:hint="eastAsia" w:ascii="宋体" w:hAnsi="宋体" w:cs="宋体"/>
                <w:sz w:val="24"/>
              </w:rPr>
              <w:t>，</w:t>
            </w:r>
            <w:r>
              <w:rPr>
                <w:rFonts w:hint="eastAsia" w:ascii="宋体" w:hAnsi="宋体" w:cs="宋体"/>
                <w:sz w:val="24"/>
                <w:lang w:eastAsia="zh-CN"/>
              </w:rPr>
              <w:t>主题名为：</w:t>
            </w:r>
            <w:r>
              <w:rPr>
                <w:rFonts w:hint="eastAsia" w:ascii="宋体" w:hAnsi="宋体" w:cs="宋体"/>
                <w:b/>
                <w:bCs/>
                <w:sz w:val="24"/>
                <w:lang w:eastAsia="zh-CN"/>
              </w:rPr>
              <w:t>投标人（单位名称）的投标文件</w:t>
            </w:r>
            <w:r>
              <w:rPr>
                <w:rFonts w:hint="eastAsia" w:ascii="宋体" w:hAnsi="宋体" w:cs="宋体"/>
                <w:sz w:val="24"/>
                <w:lang w:val="en-US" w:eastAsia="zh-CN"/>
              </w:rPr>
              <w:t xml:space="preserve">   </w:t>
            </w:r>
            <w:r>
              <w:rPr>
                <w:rFonts w:hint="eastAsia" w:ascii="宋体" w:hAnsi="宋体" w:cs="宋体"/>
                <w:sz w:val="24"/>
              </w:rPr>
              <w:t>逾期发送或发错后缀名谈判响应文件将被视为无效</w:t>
            </w:r>
            <w:r>
              <w:rPr>
                <w:rFonts w:hint="eastAsia" w:ascii="宋体" w:hAnsi="宋体" w:cs="宋体"/>
                <w:sz w:val="24"/>
                <w:lang w:eastAsia="zh-CN"/>
              </w:rPr>
              <w:t>。</w:t>
            </w:r>
          </w:p>
        </w:tc>
      </w:tr>
      <w:tr>
        <w:tblPrEx>
          <w:tblCellMar>
            <w:top w:w="0" w:type="dxa"/>
            <w:left w:w="108" w:type="dxa"/>
            <w:bottom w:w="0" w:type="dxa"/>
            <w:right w:w="108" w:type="dxa"/>
          </w:tblCellMar>
        </w:tblPrEx>
        <w:trPr>
          <w:trHeight w:val="55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投标截止时间：</w:t>
            </w:r>
            <w:r>
              <w:rPr>
                <w:rFonts w:hint="eastAsia" w:ascii="宋体" w:hAnsi="宋体" w:cs="宋体"/>
                <w:color w:val="000000" w:themeColor="text1"/>
                <w:sz w:val="24"/>
                <w14:textFill>
                  <w14:solidFill>
                    <w14:schemeClr w14:val="tx1"/>
                  </w14:solidFill>
                </w14:textFill>
              </w:rPr>
              <w:t>2021年9月30日9时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0分前</w:t>
            </w:r>
          </w:p>
        </w:tc>
      </w:tr>
      <w:tr>
        <w:tblPrEx>
          <w:tblCellMar>
            <w:top w:w="0" w:type="dxa"/>
            <w:left w:w="108" w:type="dxa"/>
            <w:bottom w:w="0" w:type="dxa"/>
            <w:right w:w="108" w:type="dxa"/>
          </w:tblCellMar>
        </w:tblPrEx>
        <w:trPr>
          <w:trHeight w:val="15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b/>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开标时间：</w:t>
            </w:r>
            <w:r>
              <w:rPr>
                <w:rFonts w:hint="eastAsia" w:ascii="宋体" w:hAnsi="宋体" w:cs="宋体"/>
                <w:color w:val="000000" w:themeColor="text1"/>
                <w:sz w:val="24"/>
                <w14:textFill>
                  <w14:solidFill>
                    <w14:schemeClr w14:val="tx1"/>
                  </w14:solidFill>
                </w14:textFill>
              </w:rPr>
              <w:t>2021年9月30日9时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开标地址：浙江广厦建设职业技术大学综合楼603开标室</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sz w:val="24"/>
              </w:rPr>
              <w:t>评标办法：最低评标价法</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中标结果公告：自中标人确定之日起2个工作日内，招标人在公告栏上以书面形式公布中标结果。</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《中标通知书》的领取时间：中标单位应在中标结果公告结束日起，在3个工作日内领取，否则按放弃中标资格处理。</w:t>
            </w:r>
          </w:p>
        </w:tc>
      </w:tr>
      <w:tr>
        <w:tblPrEx>
          <w:tblCellMar>
            <w:top w:w="0" w:type="dxa"/>
            <w:left w:w="108" w:type="dxa"/>
            <w:bottom w:w="0" w:type="dxa"/>
            <w:right w:w="108" w:type="dxa"/>
          </w:tblCellMar>
        </w:tblPrEx>
        <w:trPr>
          <w:trHeight w:val="354"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履约保证金：履约保证金为合同价款的</w:t>
            </w: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转入</w:t>
            </w:r>
            <w:r>
              <w:rPr>
                <w:rFonts w:ascii="宋体" w:hAnsi="宋体" w:cs="宋体"/>
                <w:color w:val="000000" w:themeColor="text1"/>
                <w:sz w:val="24"/>
                <w14:textFill>
                  <w14:solidFill>
                    <w14:schemeClr w14:val="tx1"/>
                  </w14:solidFill>
                </w14:textFill>
              </w:rPr>
              <w:t>浙江广厦建设职业技术大学</w:t>
            </w:r>
            <w:r>
              <w:rPr>
                <w:rFonts w:hint="eastAsia" w:ascii="宋体" w:hAnsi="宋体" w:cs="宋体"/>
                <w:color w:val="000000" w:themeColor="text1"/>
                <w:sz w:val="24"/>
                <w14:textFill>
                  <w14:solidFill>
                    <w14:schemeClr w14:val="tx1"/>
                  </w14:solidFill>
                </w14:textFill>
              </w:rPr>
              <w:t>指定银行账号</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开户行：工商银行东阳支行，账户：1</w:t>
            </w:r>
            <w:r>
              <w:rPr>
                <w:rFonts w:ascii="宋体" w:hAnsi="宋体" w:cs="宋体"/>
                <w:color w:val="000000" w:themeColor="text1"/>
                <w:sz w:val="24"/>
                <w14:textFill>
                  <w14:solidFill>
                    <w14:schemeClr w14:val="tx1"/>
                  </w14:solidFill>
                </w14:textFill>
              </w:rPr>
              <w:t>208040009049058362)</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在项目完成且验收合格（由采购人出具验收合格报告，要求原件）之日起15个工作日内退还。</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签订合同时间：发出《中标通知书》之日起30天内。</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12</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中</w:t>
            </w:r>
            <w:r>
              <w:rPr>
                <w:rFonts w:ascii="宋体" w:hAnsi="宋体" w:cs="宋体"/>
                <w:color w:val="000000" w:themeColor="text1"/>
                <w:sz w:val="24"/>
                <w14:textFill>
                  <w14:solidFill>
                    <w14:schemeClr w14:val="tx1"/>
                  </w14:solidFill>
                </w14:textFill>
              </w:rPr>
              <w:t>标人与浙江广厦建设职业技术大学签订合同。</w:t>
            </w:r>
          </w:p>
        </w:tc>
      </w:tr>
      <w:tr>
        <w:tblPrEx>
          <w:tblCellMar>
            <w:top w:w="0" w:type="dxa"/>
            <w:left w:w="108" w:type="dxa"/>
            <w:bottom w:w="0" w:type="dxa"/>
            <w:right w:w="108" w:type="dxa"/>
          </w:tblCellMar>
        </w:tblPrEx>
        <w:trPr>
          <w:trHeight w:val="25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交货地点：浙江广厦建设职业技术大学内，采购人指定的地点。</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验收：根据中华人民共和国现行技术标准，按招标文件以及合同规定的验收评定标准等规范，由采购人组织相关人员进行验收，验收合格后，采购人出具验收报告。采购人出具一式二份验收报告（不含其它单位存档份数），一份由中标人保管，一份由</w:t>
            </w:r>
            <w:r>
              <w:rPr>
                <w:rFonts w:hint="eastAsia" w:ascii="宋体" w:hAnsi="宋体" w:cs="宋体"/>
                <w:color w:val="000000" w:themeColor="text1"/>
                <w:sz w:val="24"/>
                <w14:textFill>
                  <w14:solidFill>
                    <w14:schemeClr w14:val="tx1"/>
                  </w14:solidFill>
                </w14:textFill>
              </w:rPr>
              <w:t>浙江广厦建设职业技术大学</w:t>
            </w:r>
            <w:r>
              <w:rPr>
                <w:rFonts w:ascii="宋体" w:hAnsi="宋体" w:cs="宋体"/>
                <w:color w:val="000000" w:themeColor="text1"/>
                <w:sz w:val="24"/>
                <w14:textFill>
                  <w14:solidFill>
                    <w14:schemeClr w14:val="tx1"/>
                  </w14:solidFill>
                </w14:textFill>
              </w:rPr>
              <w:t>（原件）存档。</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14</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投标文件有效期：</w:t>
            </w:r>
            <w:r>
              <w:rPr>
                <w:rFonts w:ascii="宋体" w:hAnsi="宋体" w:cs="Arial"/>
                <w:color w:val="000000" w:themeColor="text1"/>
                <w:sz w:val="24"/>
                <w:u w:val="single"/>
                <w14:textFill>
                  <w14:solidFill>
                    <w14:schemeClr w14:val="tx1"/>
                  </w14:solidFill>
                </w14:textFill>
              </w:rPr>
              <w:t>60</w:t>
            </w:r>
            <w:r>
              <w:rPr>
                <w:rFonts w:ascii="宋体" w:hAnsi="宋体" w:cs="Arial"/>
                <w:color w:val="000000" w:themeColor="text1"/>
                <w:sz w:val="24"/>
                <w14:textFill>
                  <w14:solidFill>
                    <w14:schemeClr w14:val="tx1"/>
                  </w14:solidFill>
                </w14:textFill>
              </w:rPr>
              <w:t>天</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招标人对投标人的落选不作出任何解释。</w:t>
            </w:r>
          </w:p>
        </w:tc>
      </w:tr>
      <w:tr>
        <w:tblPrEx>
          <w:tblCellMar>
            <w:top w:w="0" w:type="dxa"/>
            <w:left w:w="108" w:type="dxa"/>
            <w:bottom w:w="0" w:type="dxa"/>
            <w:right w:w="108" w:type="dxa"/>
          </w:tblCellMar>
        </w:tblPrEx>
        <w:trPr>
          <w:trHeight w:val="138"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16</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招标人</w:t>
            </w:r>
            <w:r>
              <w:rPr>
                <w:rFonts w:hint="eastAsia" w:ascii="宋体" w:hAnsi="宋体" w:cs="宋体"/>
                <w:b/>
                <w:color w:val="000000" w:themeColor="text1"/>
                <w:sz w:val="24"/>
                <w14:textFill>
                  <w14:solidFill>
                    <w14:schemeClr w14:val="tx1"/>
                  </w14:solidFill>
                </w14:textFill>
              </w:rPr>
              <w:t>的</w:t>
            </w:r>
            <w:r>
              <w:rPr>
                <w:rFonts w:ascii="宋体" w:hAnsi="宋体" w:cs="宋体"/>
                <w:b/>
                <w:color w:val="000000" w:themeColor="text1"/>
                <w:sz w:val="24"/>
                <w14:textFill>
                  <w14:solidFill>
                    <w14:schemeClr w14:val="tx1"/>
                  </w14:solidFill>
                </w14:textFill>
              </w:rPr>
              <w:t>任何工作人员对投标人所作的任何口头解释、介绍、答复，仅供投标人参考，不作为招标依据，一切以网上公告及书面形式为准。</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17</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解释：本招标文件的解释权属于</w:t>
            </w:r>
            <w:r>
              <w:rPr>
                <w:rFonts w:hint="eastAsia" w:ascii="宋体" w:hAnsi="宋体" w:cs="宋体"/>
                <w:color w:val="000000" w:themeColor="text1"/>
                <w:sz w:val="24"/>
                <w14:textFill>
                  <w14:solidFill>
                    <w14:schemeClr w14:val="tx1"/>
                  </w14:solidFill>
                </w14:textFill>
              </w:rPr>
              <w:t>浙江广厦建设职业技术大学</w:t>
            </w:r>
            <w:r>
              <w:rPr>
                <w:rFonts w:ascii="宋体" w:hAnsi="宋体" w:cs="宋体"/>
                <w:color w:val="000000" w:themeColor="text1"/>
                <w:sz w:val="24"/>
                <w14:textFill>
                  <w14:solidFill>
                    <w14:schemeClr w14:val="tx1"/>
                  </w14:solidFill>
                </w14:textFill>
              </w:rPr>
              <w:t>。</w:t>
            </w:r>
          </w:p>
        </w:tc>
      </w:tr>
    </w:tbl>
    <w:p>
      <w:pPr>
        <w:spacing w:line="276" w:lineRule="auto"/>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注：如本招标文件后面的条款与本表有矛盾的以本表的内容为准。</w:t>
      </w:r>
      <w:r>
        <w:rPr>
          <w:color w:val="000000" w:themeColor="text1"/>
          <w14:textFill>
            <w14:solidFill>
              <w14:schemeClr w14:val="tx1"/>
            </w14:solidFill>
          </w14:textFill>
        </w:rPr>
        <w:br w:type="page"/>
      </w:r>
    </w:p>
    <w:p>
      <w:pPr>
        <w:autoSpaceDE w:val="0"/>
        <w:autoSpaceDN w:val="0"/>
        <w:spacing w:before="156" w:beforeLines="50" w:line="440" w:lineRule="exact"/>
        <w:jc w:val="center"/>
        <w:textAlignment w:val="bottom"/>
        <w:rPr>
          <w:rFonts w:ascii="宋体" w:hAnsi="宋体"/>
          <w:b/>
          <w:bCs/>
          <w:sz w:val="32"/>
          <w:szCs w:val="32"/>
        </w:rPr>
      </w:pPr>
      <w:bookmarkStart w:id="5" w:name="_Toc515112306"/>
      <w:bookmarkStart w:id="6" w:name="_Toc24744"/>
      <w:r>
        <w:rPr>
          <w:rFonts w:hint="eastAsia" w:ascii="宋体" w:hAnsi="宋体"/>
          <w:b/>
          <w:bCs/>
          <w:sz w:val="32"/>
          <w:szCs w:val="32"/>
        </w:rPr>
        <w:t>第四章 竞争性谈判</w:t>
      </w:r>
      <w:bookmarkEnd w:id="5"/>
      <w:r>
        <w:rPr>
          <w:rFonts w:hint="eastAsia" w:ascii="宋体" w:hAnsi="宋体"/>
          <w:b/>
          <w:bCs/>
          <w:sz w:val="32"/>
          <w:szCs w:val="32"/>
        </w:rPr>
        <w:t>条款</w:t>
      </w:r>
      <w:bookmarkEnd w:id="6"/>
    </w:p>
    <w:p>
      <w:pPr>
        <w:autoSpaceDE w:val="0"/>
        <w:autoSpaceDN w:val="0"/>
        <w:spacing w:before="156" w:beforeLines="50" w:line="440" w:lineRule="exact"/>
        <w:textAlignment w:val="bottom"/>
        <w:rPr>
          <w:rFonts w:ascii="宋体" w:hAnsi="宋体" w:cs="宋体"/>
          <w:sz w:val="24"/>
        </w:rPr>
      </w:pPr>
      <w:r>
        <w:rPr>
          <w:rFonts w:hint="eastAsia" w:ascii="宋体" w:hAnsi="宋体" w:cs="宋体"/>
          <w:b/>
          <w:bCs/>
          <w:sz w:val="24"/>
        </w:rPr>
        <w:t>一、谈判响应文件的语言、计量及货币</w:t>
      </w:r>
    </w:p>
    <w:p>
      <w:pPr>
        <w:autoSpaceDE w:val="0"/>
        <w:autoSpaceDN w:val="0"/>
        <w:spacing w:line="440" w:lineRule="exact"/>
        <w:ind w:firstLine="480" w:firstLineChars="200"/>
        <w:textAlignment w:val="bottom"/>
        <w:rPr>
          <w:rFonts w:ascii="宋体" w:hAnsi="宋体" w:cs="宋体"/>
          <w:spacing w:val="-6"/>
          <w:kern w:val="0"/>
          <w:sz w:val="24"/>
        </w:rPr>
      </w:pPr>
      <w:r>
        <w:rPr>
          <w:rFonts w:hint="eastAsia" w:ascii="宋体" w:hAnsi="宋体" w:cs="宋体"/>
          <w:sz w:val="24"/>
        </w:rPr>
        <w:t>1. 与本次采购有关的来往通知、函件和文件均应使用中文</w:t>
      </w:r>
      <w:r>
        <w:rPr>
          <w:rFonts w:hint="eastAsia" w:ascii="宋体" w:hAnsi="宋体" w:cs="宋体"/>
          <w:spacing w:val="-6"/>
          <w:kern w:val="0"/>
          <w:sz w:val="24"/>
        </w:rPr>
        <w:t>编写。</w:t>
      </w:r>
    </w:p>
    <w:p>
      <w:pPr>
        <w:autoSpaceDE w:val="0"/>
        <w:autoSpaceDN w:val="0"/>
        <w:spacing w:line="440" w:lineRule="exact"/>
        <w:ind w:firstLine="480" w:firstLineChars="200"/>
        <w:textAlignment w:val="bottom"/>
        <w:rPr>
          <w:rFonts w:ascii="宋体" w:hAnsi="宋体" w:cs="宋体"/>
          <w:sz w:val="24"/>
        </w:rPr>
      </w:pPr>
      <w:r>
        <w:rPr>
          <w:rFonts w:hint="eastAsia" w:ascii="宋体" w:hAnsi="宋体" w:cs="宋体"/>
          <w:sz w:val="24"/>
        </w:rPr>
        <w:t>2. 除在技术规格中另有规定外，计量单位应使用公制单位。</w:t>
      </w:r>
    </w:p>
    <w:p>
      <w:pPr>
        <w:spacing w:line="440" w:lineRule="exact"/>
        <w:ind w:firstLine="480" w:firstLineChars="200"/>
        <w:rPr>
          <w:rFonts w:ascii="宋体" w:hAnsi="宋体" w:cs="宋体"/>
          <w:sz w:val="24"/>
        </w:rPr>
      </w:pPr>
      <w:r>
        <w:rPr>
          <w:rFonts w:hint="eastAsia" w:ascii="宋体" w:hAnsi="宋体" w:cs="宋体"/>
          <w:sz w:val="24"/>
        </w:rPr>
        <w:t>3. 货币为人民币，单位为元。</w:t>
      </w:r>
    </w:p>
    <w:p>
      <w:pPr>
        <w:spacing w:line="440" w:lineRule="exact"/>
        <w:ind w:firstLine="480" w:firstLineChars="200"/>
        <w:rPr>
          <w:rFonts w:ascii="宋体" w:hAnsi="宋体" w:cs="宋体"/>
          <w:sz w:val="24"/>
        </w:rPr>
      </w:pPr>
      <w:r>
        <w:rPr>
          <w:rFonts w:hint="eastAsia" w:ascii="宋体" w:hAnsi="宋体" w:cs="宋体"/>
          <w:sz w:val="24"/>
        </w:rPr>
        <w:t>4.</w:t>
      </w:r>
      <w:r>
        <w:rPr>
          <w:rFonts w:hint="eastAsia" w:ascii="宋体" w:hAnsi="宋体" w:cs="宋体"/>
        </w:rPr>
        <w:t xml:space="preserve"> </w:t>
      </w:r>
      <w:r>
        <w:rPr>
          <w:rFonts w:hint="eastAsia" w:ascii="宋体" w:hAnsi="宋体" w:cs="宋体"/>
          <w:sz w:val="24"/>
        </w:rPr>
        <w:t>“*”、 “▲”、 “★”、 “※”系指实质性要求条款，不允许负偏离，否则废标处理。</w:t>
      </w:r>
    </w:p>
    <w:p>
      <w:pPr>
        <w:spacing w:line="440" w:lineRule="exact"/>
        <w:rPr>
          <w:rFonts w:ascii="宋体" w:hAnsi="宋体" w:cs="宋体"/>
          <w:b/>
          <w:bCs/>
          <w:sz w:val="24"/>
        </w:rPr>
      </w:pPr>
      <w:r>
        <w:rPr>
          <w:rFonts w:hint="eastAsia" w:ascii="宋体" w:hAnsi="宋体" w:cs="宋体"/>
          <w:b/>
          <w:bCs/>
          <w:sz w:val="24"/>
        </w:rPr>
        <w:t>二、对谈判响应文件的要求</w:t>
      </w:r>
    </w:p>
    <w:p>
      <w:pPr>
        <w:spacing w:line="440" w:lineRule="exact"/>
        <w:ind w:firstLine="480" w:firstLineChars="200"/>
        <w:rPr>
          <w:rFonts w:ascii="宋体" w:hAnsi="宋体" w:cs="宋体"/>
          <w:sz w:val="24"/>
        </w:rPr>
      </w:pPr>
      <w:r>
        <w:rPr>
          <w:rFonts w:hint="eastAsia" w:ascii="宋体" w:hAnsi="宋体" w:cs="宋体"/>
          <w:sz w:val="24"/>
        </w:rPr>
        <w:t>谈判响应方应仔细阅读采购文件的所有内容，按采购文件的要求提供谈判响应文件，并保证所提供的全部资料的真实性，以使其谈判对采购文件做出实质性响应，否则，其谈判可能被拒绝。</w:t>
      </w:r>
    </w:p>
    <w:p>
      <w:pPr>
        <w:spacing w:line="440" w:lineRule="exact"/>
        <w:rPr>
          <w:rFonts w:ascii="宋体" w:hAnsi="宋体" w:cs="宋体"/>
          <w:b/>
          <w:bCs/>
          <w:sz w:val="24"/>
        </w:rPr>
      </w:pPr>
      <w:r>
        <w:rPr>
          <w:rFonts w:hint="eastAsia" w:ascii="宋体" w:hAnsi="宋体" w:cs="宋体"/>
          <w:b/>
          <w:bCs/>
          <w:sz w:val="24"/>
        </w:rPr>
        <w:t>三、谈判响应文件的编制</w:t>
      </w:r>
    </w:p>
    <w:p>
      <w:pPr>
        <w:spacing w:line="440" w:lineRule="exact"/>
        <w:ind w:firstLine="480" w:firstLineChars="200"/>
        <w:rPr>
          <w:rFonts w:ascii="宋体" w:hAnsi="宋体" w:cs="宋体"/>
          <w:bCs/>
          <w:sz w:val="24"/>
        </w:rPr>
      </w:pPr>
      <w:r>
        <w:rPr>
          <w:rFonts w:hint="eastAsia" w:ascii="宋体" w:hAnsi="宋体" w:cs="宋体"/>
          <w:bCs/>
          <w:sz w:val="24"/>
        </w:rPr>
        <w:t>谈判响应文件由《资格审查文件》、《商务技术文件》和《报价文件》三部分组成。</w:t>
      </w:r>
    </w:p>
    <w:p>
      <w:pPr>
        <w:spacing w:line="440" w:lineRule="exact"/>
        <w:ind w:firstLine="482" w:firstLineChars="200"/>
        <w:rPr>
          <w:rFonts w:ascii="宋体" w:hAnsi="宋体" w:cs="宋体"/>
          <w:b/>
          <w:sz w:val="24"/>
        </w:rPr>
      </w:pPr>
      <w:r>
        <w:rPr>
          <w:rFonts w:hint="eastAsia" w:ascii="宋体" w:hAnsi="宋体" w:cs="宋体"/>
          <w:b/>
          <w:sz w:val="24"/>
        </w:rPr>
        <w:t>1.资格审查文件：</w:t>
      </w:r>
    </w:p>
    <w:p>
      <w:pPr>
        <w:adjustRightInd w:val="0"/>
        <w:snapToGrid w:val="0"/>
        <w:spacing w:line="440" w:lineRule="exact"/>
        <w:ind w:firstLine="480" w:firstLineChars="200"/>
        <w:jc w:val="left"/>
        <w:rPr>
          <w:rFonts w:ascii="宋体" w:hAnsi="宋体"/>
          <w:sz w:val="24"/>
        </w:rPr>
      </w:pPr>
      <w:r>
        <w:rPr>
          <w:rFonts w:hint="eastAsia" w:ascii="宋体" w:hAnsi="宋体"/>
          <w:sz w:val="24"/>
        </w:rPr>
        <w:t>（1）有效的营业执照副本复印件；</w:t>
      </w:r>
    </w:p>
    <w:p>
      <w:pPr>
        <w:adjustRightInd w:val="0"/>
        <w:snapToGrid w:val="0"/>
        <w:spacing w:line="440" w:lineRule="exact"/>
        <w:ind w:firstLine="480" w:firstLineChars="200"/>
        <w:jc w:val="left"/>
        <w:rPr>
          <w:rFonts w:ascii="宋体" w:hAnsi="宋体"/>
          <w:sz w:val="24"/>
        </w:rPr>
      </w:pPr>
      <w:r>
        <w:rPr>
          <w:rFonts w:hint="eastAsia" w:ascii="宋体" w:hAnsi="宋体"/>
          <w:sz w:val="24"/>
        </w:rPr>
        <w:t xml:space="preserve">（2）法定代表人身份证复印件或法定代表人授权委托书(格式见附件)； </w:t>
      </w:r>
    </w:p>
    <w:p>
      <w:pPr>
        <w:adjustRightInd w:val="0"/>
        <w:snapToGrid w:val="0"/>
        <w:spacing w:line="440" w:lineRule="exact"/>
        <w:ind w:firstLine="480" w:firstLineChars="200"/>
        <w:jc w:val="left"/>
        <w:rPr>
          <w:rFonts w:ascii="宋体" w:hAnsi="宋体"/>
          <w:sz w:val="24"/>
        </w:rPr>
      </w:pPr>
      <w:r>
        <w:rPr>
          <w:rFonts w:hint="eastAsia" w:ascii="宋体" w:hAnsi="宋体"/>
          <w:sz w:val="24"/>
        </w:rPr>
        <w:t>（3）谈判响应方情况介绍；</w:t>
      </w:r>
    </w:p>
    <w:p>
      <w:pPr>
        <w:adjustRightInd w:val="0"/>
        <w:snapToGrid w:val="0"/>
        <w:spacing w:line="440" w:lineRule="exact"/>
        <w:ind w:firstLine="480" w:firstLineChars="200"/>
        <w:jc w:val="left"/>
        <w:rPr>
          <w:rFonts w:ascii="宋体" w:hAnsi="宋体"/>
          <w:sz w:val="24"/>
        </w:rPr>
      </w:pPr>
      <w:r>
        <w:rPr>
          <w:rFonts w:hint="eastAsia" w:ascii="宋体" w:hAnsi="宋体"/>
          <w:sz w:val="24"/>
        </w:rPr>
        <w:t>（4）谈判响应方认为有必要提供的其它文件。</w:t>
      </w:r>
    </w:p>
    <w:p>
      <w:pPr>
        <w:spacing w:line="440" w:lineRule="exact"/>
        <w:ind w:firstLine="482" w:firstLineChars="200"/>
        <w:rPr>
          <w:rFonts w:ascii="宋体" w:hAnsi="宋体" w:cs="宋体"/>
          <w:b/>
          <w:bCs/>
          <w:sz w:val="24"/>
        </w:rPr>
      </w:pPr>
      <w:r>
        <w:rPr>
          <w:rFonts w:hint="eastAsia" w:ascii="宋体" w:hAnsi="宋体" w:cs="宋体"/>
          <w:b/>
          <w:bCs/>
          <w:sz w:val="24"/>
        </w:rPr>
        <w:t>2、《商务技术文件》包括：</w:t>
      </w:r>
    </w:p>
    <w:p>
      <w:pPr>
        <w:adjustRightInd w:val="0"/>
        <w:snapToGrid w:val="0"/>
        <w:spacing w:line="440" w:lineRule="exact"/>
        <w:ind w:firstLine="480" w:firstLineChars="200"/>
        <w:jc w:val="left"/>
        <w:rPr>
          <w:rFonts w:ascii="宋体" w:hAnsi="宋体"/>
          <w:sz w:val="24"/>
        </w:rPr>
      </w:pPr>
      <w:r>
        <w:rPr>
          <w:rFonts w:hint="eastAsia" w:ascii="宋体" w:hAnsi="宋体"/>
          <w:sz w:val="24"/>
        </w:rPr>
        <w:t>（1）商务、技术响应表；</w:t>
      </w:r>
    </w:p>
    <w:p>
      <w:pPr>
        <w:adjustRightInd w:val="0"/>
        <w:snapToGrid w:val="0"/>
        <w:spacing w:line="440" w:lineRule="exact"/>
        <w:ind w:firstLine="480" w:firstLineChars="200"/>
        <w:jc w:val="left"/>
        <w:rPr>
          <w:rFonts w:ascii="宋体" w:hAnsi="宋体"/>
          <w:sz w:val="24"/>
        </w:rPr>
      </w:pPr>
      <w:r>
        <w:rPr>
          <w:rFonts w:hint="eastAsia" w:ascii="宋体" w:hAnsi="宋体"/>
          <w:sz w:val="24"/>
        </w:rPr>
        <w:t>（2）提供针对项目的实施方案；</w:t>
      </w:r>
    </w:p>
    <w:p>
      <w:pPr>
        <w:adjustRightInd w:val="0"/>
        <w:snapToGrid w:val="0"/>
        <w:spacing w:line="440" w:lineRule="exact"/>
        <w:ind w:firstLine="480" w:firstLineChars="200"/>
        <w:jc w:val="left"/>
        <w:rPr>
          <w:rFonts w:ascii="宋体" w:hAnsi="宋体"/>
          <w:sz w:val="24"/>
        </w:rPr>
      </w:pPr>
      <w:r>
        <w:rPr>
          <w:rFonts w:hint="eastAsia" w:ascii="宋体" w:hAnsi="宋体"/>
          <w:sz w:val="24"/>
        </w:rPr>
        <w:t>（3）针对本项目的详细实施计划；</w:t>
      </w:r>
    </w:p>
    <w:p>
      <w:pPr>
        <w:adjustRightInd w:val="0"/>
        <w:snapToGrid w:val="0"/>
        <w:spacing w:line="440" w:lineRule="exact"/>
        <w:ind w:firstLine="480" w:firstLineChars="200"/>
        <w:jc w:val="left"/>
        <w:rPr>
          <w:rFonts w:ascii="宋体" w:hAnsi="宋体"/>
          <w:sz w:val="24"/>
        </w:rPr>
      </w:pPr>
      <w:r>
        <w:rPr>
          <w:rFonts w:hint="eastAsia" w:ascii="宋体" w:hAnsi="宋体"/>
          <w:sz w:val="24"/>
        </w:rPr>
        <w:t>（4）培训方案；</w:t>
      </w:r>
    </w:p>
    <w:p>
      <w:pPr>
        <w:adjustRightInd w:val="0"/>
        <w:snapToGrid w:val="0"/>
        <w:spacing w:line="440" w:lineRule="exact"/>
        <w:ind w:firstLine="480" w:firstLineChars="200"/>
        <w:jc w:val="left"/>
        <w:rPr>
          <w:rFonts w:ascii="宋体" w:hAnsi="宋体"/>
          <w:sz w:val="24"/>
        </w:rPr>
      </w:pPr>
      <w:r>
        <w:rPr>
          <w:rFonts w:hint="eastAsia" w:ascii="宋体" w:hAnsi="宋体"/>
          <w:sz w:val="24"/>
        </w:rPr>
        <w:t>（5）售后服务方案；</w:t>
      </w:r>
    </w:p>
    <w:p>
      <w:pPr>
        <w:snapToGrid w:val="0"/>
        <w:spacing w:line="440" w:lineRule="exact"/>
        <w:ind w:firstLine="480" w:firstLineChars="200"/>
        <w:jc w:val="left"/>
        <w:rPr>
          <w:rFonts w:ascii="宋体" w:hAnsi="宋体"/>
          <w:snapToGrid w:val="0"/>
          <w:sz w:val="24"/>
        </w:rPr>
      </w:pPr>
      <w:r>
        <w:rPr>
          <w:rFonts w:hint="eastAsia" w:ascii="宋体" w:hAnsi="宋体"/>
          <w:sz w:val="24"/>
        </w:rPr>
        <w:t>（6）售后服务响应时间</w:t>
      </w:r>
      <w:r>
        <w:rPr>
          <w:rFonts w:hint="eastAsia" w:ascii="宋体" w:hAnsi="宋体"/>
          <w:snapToGrid w:val="0"/>
          <w:sz w:val="24"/>
        </w:rPr>
        <w:t>；</w:t>
      </w:r>
    </w:p>
    <w:p>
      <w:pPr>
        <w:snapToGrid w:val="0"/>
        <w:spacing w:line="440" w:lineRule="exact"/>
        <w:ind w:firstLine="480" w:firstLineChars="200"/>
        <w:jc w:val="left"/>
        <w:rPr>
          <w:rFonts w:ascii="宋体" w:hAnsi="宋体" w:cs="宋体"/>
          <w:sz w:val="24"/>
        </w:rPr>
      </w:pPr>
      <w:r>
        <w:rPr>
          <w:rFonts w:hint="eastAsia" w:ascii="宋体" w:hAnsi="宋体"/>
          <w:sz w:val="24"/>
        </w:rPr>
        <w:t>（7）</w:t>
      </w:r>
      <w:r>
        <w:rPr>
          <w:rFonts w:hint="eastAsia" w:ascii="宋体" w:hAnsi="宋体" w:cs="宋体"/>
          <w:sz w:val="24"/>
        </w:rPr>
        <w:t>谈判响应方</w:t>
      </w:r>
      <w:r>
        <w:rPr>
          <w:rFonts w:hint="eastAsia" w:ascii="宋体" w:hAnsi="宋体" w:cs="宋体"/>
          <w:bCs/>
          <w:sz w:val="24"/>
        </w:rPr>
        <w:t>认</w:t>
      </w:r>
      <w:r>
        <w:rPr>
          <w:rFonts w:hint="eastAsia" w:ascii="宋体" w:hAnsi="宋体" w:cs="宋体"/>
          <w:sz w:val="24"/>
        </w:rPr>
        <w:t>为有必要提供的其它文件。</w:t>
      </w:r>
    </w:p>
    <w:p>
      <w:pPr>
        <w:spacing w:line="440" w:lineRule="exact"/>
        <w:ind w:firstLine="482" w:firstLineChars="200"/>
        <w:rPr>
          <w:rFonts w:ascii="宋体" w:hAnsi="宋体" w:cs="宋体"/>
          <w:b/>
          <w:bCs/>
          <w:sz w:val="24"/>
        </w:rPr>
      </w:pPr>
      <w:r>
        <w:rPr>
          <w:rFonts w:hint="eastAsia" w:ascii="宋体" w:hAnsi="宋体" w:cs="宋体"/>
          <w:b/>
          <w:bCs/>
          <w:sz w:val="24"/>
        </w:rPr>
        <w:t>3、《报价文件》包括：</w:t>
      </w:r>
    </w:p>
    <w:p>
      <w:pPr>
        <w:spacing w:line="440" w:lineRule="exact"/>
        <w:ind w:firstLine="480" w:firstLineChars="200"/>
        <w:rPr>
          <w:rFonts w:ascii="宋体" w:hAnsi="宋体" w:cs="宋体"/>
          <w:bCs/>
          <w:sz w:val="24"/>
        </w:rPr>
      </w:pPr>
      <w:r>
        <w:rPr>
          <w:rFonts w:hint="eastAsia" w:ascii="宋体" w:hAnsi="宋体" w:cs="宋体"/>
          <w:bCs/>
          <w:sz w:val="24"/>
        </w:rPr>
        <w:t>（1）投标书（格式见附件）；</w:t>
      </w:r>
    </w:p>
    <w:p>
      <w:pPr>
        <w:spacing w:line="440" w:lineRule="exact"/>
        <w:ind w:firstLine="480" w:firstLineChars="200"/>
        <w:rPr>
          <w:rFonts w:ascii="宋体" w:hAnsi="宋体" w:cs="宋体"/>
          <w:bCs/>
          <w:sz w:val="24"/>
        </w:rPr>
      </w:pPr>
      <w:r>
        <w:rPr>
          <w:rFonts w:hint="eastAsia" w:ascii="宋体" w:hAnsi="宋体" w:cs="宋体"/>
          <w:bCs/>
          <w:sz w:val="24"/>
        </w:rPr>
        <w:t>（2）初次报价表；</w:t>
      </w:r>
    </w:p>
    <w:p>
      <w:pPr>
        <w:overflowPunct w:val="0"/>
        <w:autoSpaceDE w:val="0"/>
        <w:autoSpaceDN w:val="0"/>
        <w:adjustRightInd w:val="0"/>
        <w:spacing w:line="440" w:lineRule="exact"/>
        <w:textAlignment w:val="baseline"/>
        <w:rPr>
          <w:rFonts w:ascii="宋体" w:hAnsi="宋体" w:cs="宋体"/>
          <w:b/>
          <w:bCs/>
          <w:kern w:val="0"/>
          <w:sz w:val="24"/>
        </w:rPr>
      </w:pPr>
      <w:r>
        <w:rPr>
          <w:rFonts w:hint="eastAsia" w:ascii="宋体" w:hAnsi="宋体" w:cs="宋体"/>
          <w:b/>
          <w:bCs/>
          <w:kern w:val="0"/>
          <w:sz w:val="24"/>
        </w:rPr>
        <w:t>四、谈判报价</w:t>
      </w:r>
    </w:p>
    <w:p>
      <w:pPr>
        <w:overflowPunct w:val="0"/>
        <w:autoSpaceDE w:val="0"/>
        <w:autoSpaceDN w:val="0"/>
        <w:adjustRightInd w:val="0"/>
        <w:spacing w:line="440" w:lineRule="exact"/>
        <w:ind w:firstLine="480" w:firstLineChars="200"/>
        <w:textAlignment w:val="baseline"/>
        <w:rPr>
          <w:rFonts w:ascii="宋体" w:hAnsi="宋体" w:cs="宋体"/>
          <w:bCs/>
          <w:kern w:val="0"/>
          <w:sz w:val="24"/>
        </w:rPr>
      </w:pPr>
      <w:r>
        <w:rPr>
          <w:rFonts w:hint="eastAsia" w:ascii="宋体" w:hAnsi="宋体" w:cs="宋体"/>
          <w:bCs/>
          <w:kern w:val="0"/>
          <w:sz w:val="24"/>
        </w:rPr>
        <w:t>1.谈判报价最高限价：16万元</w:t>
      </w:r>
      <w:r>
        <w:rPr>
          <w:rFonts w:ascii="宋体" w:hAnsi="宋体" w:cs="宋体"/>
          <w:bCs/>
          <w:kern w:val="0"/>
          <w:sz w:val="24"/>
        </w:rPr>
        <w:t xml:space="preserve">； </w:t>
      </w:r>
    </w:p>
    <w:p>
      <w:pPr>
        <w:spacing w:line="440" w:lineRule="exact"/>
        <w:ind w:firstLine="480" w:firstLineChars="200"/>
        <w:rPr>
          <w:rFonts w:ascii="宋体" w:hAnsi="宋体" w:cs="宋体"/>
          <w:spacing w:val="-4"/>
          <w:sz w:val="24"/>
        </w:rPr>
      </w:pPr>
      <w:r>
        <w:rPr>
          <w:rFonts w:hint="eastAsia" w:ascii="宋体" w:hAnsi="宋体" w:cs="宋体"/>
          <w:sz w:val="24"/>
        </w:rPr>
        <w:t>2.谈判</w:t>
      </w:r>
      <w:r>
        <w:rPr>
          <w:rFonts w:hint="eastAsia" w:ascii="宋体" w:hAnsi="宋体" w:cs="宋体"/>
          <w:spacing w:val="-4"/>
          <w:sz w:val="24"/>
        </w:rPr>
        <w:t>报价是履行合同的最终价格，</w:t>
      </w:r>
      <w:r>
        <w:rPr>
          <w:rFonts w:hint="eastAsia" w:ascii="宋体" w:hAnsi="宋体" w:cs="宋体"/>
          <w:sz w:val="24"/>
        </w:rPr>
        <w:t>应包含完成本项目合同内容所涉及的全部费用，包含但不仅限于所需软件的设计、开发、优化、安装、平台对接、上线调试、试运行管理、技术培训、验收配合、第三方检测（如需）、售后服务以及完成采购需求所涉及的其他一切内容所需的全部费用，以及税金、人工费、管理费、合理利润、风险费、投标费用、招标代理费等一切成本及费用。</w:t>
      </w:r>
      <w:r>
        <w:rPr>
          <w:rFonts w:hint="eastAsia" w:ascii="宋体" w:hAnsi="宋体" w:cs="宋体"/>
          <w:spacing w:val="-4"/>
          <w:sz w:val="24"/>
        </w:rPr>
        <w:t>谈判响应</w:t>
      </w:r>
      <w:r>
        <w:rPr>
          <w:rFonts w:hint="eastAsia" w:ascii="宋体" w:hAnsi="宋体" w:cs="宋体"/>
          <w:bCs/>
          <w:spacing w:val="-4"/>
          <w:sz w:val="24"/>
        </w:rPr>
        <w:t>方</w:t>
      </w:r>
      <w:r>
        <w:rPr>
          <w:rFonts w:hint="eastAsia" w:ascii="宋体" w:hAnsi="宋体" w:cs="宋体"/>
          <w:spacing w:val="-4"/>
          <w:sz w:val="24"/>
        </w:rPr>
        <w:t>的谈判报价为整个采购项目的总报价，如有漏项，视同已包含在项目中，合同总价不做调整。</w:t>
      </w:r>
    </w:p>
    <w:p>
      <w:pPr>
        <w:spacing w:line="440" w:lineRule="exact"/>
        <w:ind w:firstLine="480" w:firstLineChars="200"/>
        <w:rPr>
          <w:rFonts w:ascii="宋体" w:hAnsi="宋体" w:cs="宋体"/>
          <w:sz w:val="24"/>
        </w:rPr>
      </w:pPr>
      <w:r>
        <w:rPr>
          <w:rFonts w:hint="eastAsia" w:ascii="宋体" w:hAnsi="宋体" w:cs="宋体"/>
          <w:sz w:val="24"/>
        </w:rPr>
        <w:t>3．谈判响应方应在谈判响应文件和报价表上写明谈判总价。如果大写金额和小写金额不一致的，以大写金额为准；对不同文字文体谈判响应文件的解释发生异议的，以中文文件为准。</w:t>
      </w:r>
    </w:p>
    <w:p>
      <w:pPr>
        <w:overflowPunct w:val="0"/>
        <w:autoSpaceDE w:val="0"/>
        <w:autoSpaceDN w:val="0"/>
        <w:adjustRightInd w:val="0"/>
        <w:spacing w:line="440" w:lineRule="exact"/>
        <w:textAlignment w:val="baseline"/>
        <w:rPr>
          <w:rFonts w:ascii="宋体" w:hAnsi="宋体" w:cs="宋体"/>
          <w:b/>
          <w:bCs/>
          <w:kern w:val="0"/>
          <w:sz w:val="24"/>
        </w:rPr>
      </w:pPr>
      <w:r>
        <w:rPr>
          <w:rFonts w:hint="eastAsia" w:ascii="宋体" w:hAnsi="宋体" w:cs="宋体"/>
          <w:b/>
          <w:bCs/>
          <w:kern w:val="0"/>
          <w:sz w:val="24"/>
        </w:rPr>
        <w:t>五、履约保证金</w:t>
      </w:r>
    </w:p>
    <w:p>
      <w:pPr>
        <w:spacing w:line="440" w:lineRule="exact"/>
        <w:rPr>
          <w:rFonts w:ascii="宋体" w:hAnsi="宋体" w:cs="宋体"/>
          <w:sz w:val="24"/>
        </w:rPr>
      </w:pPr>
      <w:r>
        <w:rPr>
          <w:rFonts w:hint="eastAsia" w:ascii="宋体" w:hAnsi="宋体" w:cs="宋体"/>
          <w:b/>
          <w:bCs/>
          <w:kern w:val="0"/>
          <w:sz w:val="24"/>
        </w:rPr>
        <w:t xml:space="preserve"> </w:t>
      </w:r>
      <w:r>
        <w:rPr>
          <w:rFonts w:ascii="宋体" w:hAnsi="宋体" w:cs="宋体"/>
          <w:b/>
          <w:bCs/>
          <w:kern w:val="0"/>
          <w:sz w:val="24"/>
        </w:rPr>
        <w:t xml:space="preserve">  </w:t>
      </w:r>
      <w:r>
        <w:rPr>
          <w:rFonts w:hint="eastAsia" w:ascii="宋体" w:hAnsi="宋体" w:cs="宋体"/>
          <w:sz w:val="24"/>
        </w:rPr>
        <w:t>▲1.保证金形式：</w:t>
      </w:r>
      <w:r>
        <w:rPr>
          <w:rFonts w:hint="eastAsia" w:ascii="宋体" w:hAnsi="宋体" w:cs="宋体"/>
          <w:sz w:val="24"/>
          <w:u w:val="single"/>
        </w:rPr>
        <w:t>汇票、电汇、转帐</w:t>
      </w:r>
      <w:r>
        <w:rPr>
          <w:rFonts w:hint="eastAsia" w:ascii="宋体" w:hAnsi="宋体" w:cs="宋体"/>
          <w:sz w:val="24"/>
        </w:rPr>
        <w:t xml:space="preserve">   </w:t>
      </w:r>
    </w:p>
    <w:p>
      <w:pPr>
        <w:spacing w:line="440" w:lineRule="exact"/>
        <w:ind w:firstLine="360" w:firstLineChars="150"/>
        <w:rPr>
          <w:rFonts w:ascii="宋体" w:hAnsi="宋体" w:cs="宋体"/>
          <w:sz w:val="24"/>
        </w:rPr>
      </w:pPr>
      <w:r>
        <w:rPr>
          <w:rFonts w:hint="eastAsia" w:ascii="宋体" w:hAnsi="宋体" w:cs="宋体"/>
          <w:sz w:val="24"/>
        </w:rPr>
        <w:t>▲2.中标人应在中标通知书发出后</w:t>
      </w:r>
      <w:r>
        <w:rPr>
          <w:rFonts w:hint="eastAsia" w:ascii="宋体" w:hAnsi="宋体" w:cs="宋体"/>
          <w:sz w:val="24"/>
          <w:u w:val="single"/>
        </w:rPr>
        <w:t>30</w:t>
      </w:r>
      <w:r>
        <w:rPr>
          <w:rFonts w:hint="eastAsia" w:ascii="宋体" w:hAnsi="宋体" w:cs="宋体"/>
          <w:sz w:val="24"/>
        </w:rPr>
        <w:t>日内与采购人签订合同，履约保证金为中标价的5%，在领取中标通知书前向采购人指定账户交纳。</w:t>
      </w:r>
    </w:p>
    <w:p>
      <w:pPr>
        <w:overflowPunct w:val="0"/>
        <w:autoSpaceDE w:val="0"/>
        <w:autoSpaceDN w:val="0"/>
        <w:adjustRightInd w:val="0"/>
        <w:spacing w:line="440" w:lineRule="exact"/>
        <w:textAlignment w:val="baseline"/>
        <w:rPr>
          <w:rFonts w:ascii="宋体" w:hAnsi="宋体" w:cs="宋体"/>
          <w:b/>
          <w:bCs/>
          <w:kern w:val="0"/>
          <w:sz w:val="24"/>
        </w:rPr>
      </w:pPr>
      <w:r>
        <w:rPr>
          <w:rFonts w:hint="eastAsia" w:ascii="宋体" w:hAnsi="宋体" w:cs="宋体"/>
          <w:b/>
          <w:bCs/>
          <w:kern w:val="0"/>
          <w:sz w:val="24"/>
        </w:rPr>
        <w:t>六、谈判响应文件有效期</w:t>
      </w:r>
    </w:p>
    <w:p>
      <w:pPr>
        <w:spacing w:line="440" w:lineRule="exact"/>
        <w:ind w:firstLine="480" w:firstLineChars="200"/>
        <w:rPr>
          <w:rFonts w:ascii="宋体" w:hAnsi="宋体" w:cs="宋体"/>
          <w:sz w:val="24"/>
        </w:rPr>
      </w:pPr>
      <w:r>
        <w:rPr>
          <w:rFonts w:hint="eastAsia" w:ascii="宋体" w:hAnsi="宋体" w:cs="宋体"/>
          <w:sz w:val="24"/>
        </w:rPr>
        <w:t>1、自谈判截止日起60天谈判响应文件应保持有效。有效期不足的谈判响应文件将被拒绝。</w:t>
      </w:r>
    </w:p>
    <w:p>
      <w:pPr>
        <w:spacing w:line="440" w:lineRule="exact"/>
        <w:ind w:firstLine="480" w:firstLineChars="200"/>
        <w:rPr>
          <w:rFonts w:ascii="宋体" w:hAnsi="宋体" w:cs="宋体"/>
          <w:sz w:val="24"/>
        </w:rPr>
      </w:pPr>
      <w:r>
        <w:rPr>
          <w:rFonts w:hint="eastAsia" w:ascii="宋体" w:hAnsi="宋体" w:cs="宋体"/>
          <w:sz w:val="24"/>
        </w:rPr>
        <w:t>2、在特殊情况下，谈判方可与谈判响应方协商延长谈判响应文件的有效期，这种要求和答复均以书面形式进行。</w:t>
      </w:r>
    </w:p>
    <w:p>
      <w:pPr>
        <w:spacing w:line="440" w:lineRule="exact"/>
        <w:ind w:firstLine="480" w:firstLineChars="200"/>
        <w:rPr>
          <w:rFonts w:ascii="宋体" w:hAnsi="宋体" w:cs="宋体"/>
          <w:sz w:val="24"/>
        </w:rPr>
      </w:pPr>
      <w:r>
        <w:rPr>
          <w:rFonts w:hint="eastAsia" w:ascii="宋体" w:hAnsi="宋体" w:cs="宋体"/>
          <w:sz w:val="24"/>
        </w:rPr>
        <w:t xml:space="preserve">3、谈判响应方可拒绝接受延期要求，但不能修改谈判响应文件。 </w:t>
      </w:r>
    </w:p>
    <w:p>
      <w:pPr>
        <w:spacing w:line="440" w:lineRule="exact"/>
        <w:ind w:firstLine="480" w:firstLineChars="200"/>
        <w:rPr>
          <w:rFonts w:ascii="宋体" w:hAnsi="宋体" w:cs="宋体"/>
          <w:sz w:val="24"/>
        </w:rPr>
      </w:pPr>
      <w:r>
        <w:rPr>
          <w:rFonts w:hint="eastAsia" w:ascii="宋体" w:hAnsi="宋体" w:cs="宋体"/>
          <w:sz w:val="24"/>
        </w:rPr>
        <w:t>4、中标人的谈判响应文件自开标之日起至合同履行完毕止均应保持有效。</w:t>
      </w:r>
    </w:p>
    <w:p>
      <w:pPr>
        <w:spacing w:line="440" w:lineRule="exact"/>
        <w:rPr>
          <w:rFonts w:ascii="宋体" w:hAnsi="宋体" w:cs="宋体"/>
          <w:b/>
          <w:bCs/>
          <w:sz w:val="24"/>
        </w:rPr>
      </w:pPr>
      <w:r>
        <w:rPr>
          <w:rFonts w:hint="eastAsia" w:ascii="宋体" w:hAnsi="宋体"/>
          <w:b/>
          <w:sz w:val="24"/>
        </w:rPr>
        <w:t>★</w:t>
      </w:r>
      <w:r>
        <w:rPr>
          <w:rFonts w:hint="eastAsia" w:ascii="宋体" w:hAnsi="宋体" w:cs="宋体"/>
          <w:b/>
          <w:bCs/>
          <w:sz w:val="24"/>
        </w:rPr>
        <w:t>七、谈判响应文件的签署和盖章</w:t>
      </w:r>
    </w:p>
    <w:p>
      <w:pPr>
        <w:spacing w:line="440" w:lineRule="exact"/>
        <w:ind w:firstLine="480" w:firstLineChars="200"/>
        <w:rPr>
          <w:rFonts w:ascii="宋体" w:hAnsi="宋体" w:cs="宋体"/>
          <w:sz w:val="24"/>
        </w:rPr>
      </w:pPr>
      <w:r>
        <w:rPr>
          <w:rFonts w:hint="eastAsia" w:ascii="宋体" w:hAnsi="宋体" w:cs="宋体"/>
          <w:sz w:val="24"/>
        </w:rPr>
        <w:t>1、谈判响应方应按本采购文件规定的格式和顺序编制并标注页码，因谈判响应文件内容不完整、编排混乱等原因导致谈判响应文件被误读、漏读或者查找不到相关内容的，是谈判响应方的责任。</w:t>
      </w:r>
    </w:p>
    <w:p>
      <w:pPr>
        <w:spacing w:line="440" w:lineRule="exact"/>
        <w:ind w:firstLine="482" w:firstLineChars="200"/>
        <w:rPr>
          <w:rFonts w:ascii="宋体" w:hAnsi="宋体" w:cs="宋体"/>
          <w:b/>
          <w:bCs/>
          <w:sz w:val="24"/>
        </w:rPr>
      </w:pPr>
      <w:r>
        <w:rPr>
          <w:rFonts w:hint="eastAsia" w:ascii="宋体" w:hAnsi="宋体" w:cs="宋体"/>
          <w:b/>
          <w:bCs/>
          <w:sz w:val="24"/>
        </w:rPr>
        <w:t>2.谈判响应方应在评标结束之日起10日内，向学校提供纸质谈判响应文件，未按时或未按</w:t>
      </w:r>
      <w:r>
        <w:rPr>
          <w:rFonts w:hint="eastAsia" w:ascii="宋体" w:hAnsi="宋体" w:cs="宋体"/>
          <w:b/>
          <w:bCs/>
          <w:sz w:val="24"/>
          <w:lang w:eastAsia="zh-CN"/>
        </w:rPr>
        <w:t>竞争性响应</w:t>
      </w:r>
      <w:r>
        <w:rPr>
          <w:rFonts w:hint="eastAsia" w:ascii="宋体" w:hAnsi="宋体" w:cs="宋体"/>
          <w:b/>
          <w:bCs/>
          <w:sz w:val="24"/>
        </w:rPr>
        <w:t>文件规定提供纸质谈判响应文件的谈判响应方将以失信单位上报东阳市财政局采监科。</w:t>
      </w:r>
    </w:p>
    <w:p>
      <w:pPr>
        <w:spacing w:line="440" w:lineRule="exact"/>
        <w:rPr>
          <w:rFonts w:ascii="宋体" w:hAnsi="宋体" w:cs="宋体"/>
          <w:b/>
          <w:bCs/>
          <w:sz w:val="24"/>
        </w:rPr>
      </w:pPr>
      <w:r>
        <w:rPr>
          <w:rFonts w:hint="eastAsia" w:ascii="宋体" w:hAnsi="宋体" w:cs="宋体"/>
          <w:b/>
          <w:bCs/>
          <w:sz w:val="24"/>
        </w:rPr>
        <w:t>纸质谈判响应文件递交要求如下：</w:t>
      </w:r>
    </w:p>
    <w:p>
      <w:pPr>
        <w:numPr>
          <w:ilvl w:val="0"/>
          <w:numId w:val="5"/>
        </w:numPr>
        <w:spacing w:line="440" w:lineRule="exact"/>
        <w:rPr>
          <w:rFonts w:ascii="宋体" w:hAnsi="宋体" w:cs="宋体"/>
          <w:b/>
          <w:bCs/>
          <w:sz w:val="24"/>
        </w:rPr>
      </w:pPr>
      <w:r>
        <w:rPr>
          <w:rFonts w:hint="eastAsia" w:ascii="宋体" w:hAnsi="宋体" w:cs="宋体"/>
          <w:b/>
          <w:bCs/>
          <w:sz w:val="24"/>
        </w:rPr>
        <w:t>中标人须提供《资格审查文件》、《商务技术文件》、《报价文件》正本各1份、副本各</w:t>
      </w:r>
      <w:r>
        <w:rPr>
          <w:rFonts w:ascii="宋体" w:hAnsi="宋体" w:cs="宋体"/>
          <w:b/>
          <w:bCs/>
          <w:sz w:val="24"/>
        </w:rPr>
        <w:t>2</w:t>
      </w:r>
      <w:r>
        <w:rPr>
          <w:rFonts w:hint="eastAsia" w:ascii="宋体" w:hAnsi="宋体" w:cs="宋体"/>
          <w:b/>
          <w:bCs/>
          <w:sz w:val="24"/>
        </w:rPr>
        <w:t>份，分别编制并单独装订成册；封面应注明“正本”、“副本”字样。</w:t>
      </w:r>
    </w:p>
    <w:p>
      <w:pPr>
        <w:spacing w:line="460" w:lineRule="exact"/>
        <w:jc w:val="left"/>
      </w:pPr>
      <w:r>
        <w:rPr>
          <w:rFonts w:hint="eastAsia" w:ascii="宋体" w:hAnsi="宋体"/>
          <w:b/>
          <w:bCs/>
          <w:sz w:val="24"/>
        </w:rPr>
        <w:t>（2）未中标供应商须提供《资格审查文件》、《商务技术文件》、《报价文件》正本各1份，分别编制并单独装订成册；封面应注明“正本”字样。</w:t>
      </w:r>
    </w:p>
    <w:p>
      <w:pPr>
        <w:spacing w:line="440" w:lineRule="exact"/>
        <w:rPr>
          <w:rFonts w:ascii="宋体" w:hAnsi="宋体" w:cs="宋体"/>
          <w:b/>
          <w:bCs/>
          <w:sz w:val="24"/>
        </w:rPr>
      </w:pPr>
      <w:r>
        <w:rPr>
          <w:rFonts w:hint="eastAsia" w:ascii="宋体" w:hAnsi="宋体" w:cs="宋体"/>
          <w:sz w:val="24"/>
        </w:rPr>
        <w:t>（</w:t>
      </w:r>
      <w:r>
        <w:rPr>
          <w:rFonts w:hint="eastAsia" w:ascii="宋体" w:hAnsi="宋体" w:cs="宋体"/>
          <w:b/>
          <w:bCs/>
          <w:sz w:val="24"/>
        </w:rPr>
        <w:t>3）纸质谈判响应文件需打印或用不褪色的墨水填写，纸质谈判响应文件正本除本《谈判响应方须知》中规定的可提供复印件外均须提供原件。副本可为正本的复印件。</w:t>
      </w:r>
    </w:p>
    <w:p>
      <w:pPr>
        <w:spacing w:line="440" w:lineRule="exact"/>
        <w:ind w:firstLine="482" w:firstLineChars="200"/>
        <w:rPr>
          <w:rFonts w:ascii="宋体" w:hAnsi="宋体" w:cs="宋体"/>
          <w:b/>
          <w:sz w:val="24"/>
        </w:rPr>
      </w:pPr>
      <w:r>
        <w:rPr>
          <w:rFonts w:hint="eastAsia" w:ascii="宋体" w:hAnsi="宋体" w:cs="宋体"/>
          <w:b/>
          <w:sz w:val="24"/>
        </w:rPr>
        <w:t>3</w:t>
      </w:r>
      <w:r>
        <w:rPr>
          <w:rFonts w:hint="eastAsia" w:ascii="宋体" w:hAnsi="宋体" w:cs="宋体"/>
        </w:rPr>
        <w:t>、</w:t>
      </w:r>
      <w:r>
        <w:rPr>
          <w:rFonts w:hint="eastAsia" w:ascii="宋体" w:hAnsi="宋体" w:cs="宋体"/>
          <w:b/>
          <w:sz w:val="24"/>
        </w:rPr>
        <w:t>谈判响应文件需盖章签字的地方必须由谈判响应方法定代表人或法定代表人的授权委托人签署并加盖单位公章，谈判响应方应写全称。</w:t>
      </w:r>
    </w:p>
    <w:p>
      <w:pPr>
        <w:spacing w:line="440" w:lineRule="exact"/>
        <w:ind w:firstLine="480" w:firstLineChars="200"/>
        <w:rPr>
          <w:rFonts w:ascii="宋体" w:hAnsi="宋体" w:cs="宋体"/>
          <w:sz w:val="24"/>
        </w:rPr>
      </w:pPr>
      <w:r>
        <w:rPr>
          <w:rFonts w:hint="eastAsia" w:ascii="宋体" w:hAnsi="宋体" w:cs="宋体"/>
          <w:sz w:val="24"/>
        </w:rPr>
        <w:t>4、谈判响应文件不得涂改，若有修改错漏处，须加盖单位公章或者法定代表人或授权的委托代理人签字或盖章</w:t>
      </w:r>
      <w:r>
        <w:rPr>
          <w:rFonts w:hint="eastAsia" w:ascii="宋体" w:hAnsi="宋体" w:cs="宋体"/>
          <w:b/>
          <w:sz w:val="24"/>
        </w:rPr>
        <w:t>。</w:t>
      </w:r>
      <w:r>
        <w:rPr>
          <w:rFonts w:hint="eastAsia" w:ascii="宋体" w:hAnsi="宋体" w:cs="宋体"/>
          <w:sz w:val="24"/>
        </w:rPr>
        <w:t>谈判响应文件因字迹潦草或表达不清所引起的后果由谈判响应方负责。</w:t>
      </w:r>
    </w:p>
    <w:p>
      <w:pPr>
        <w:spacing w:line="440" w:lineRule="exact"/>
        <w:rPr>
          <w:rFonts w:ascii="宋体" w:hAnsi="宋体" w:cs="宋体"/>
          <w:b/>
          <w:bCs/>
          <w:sz w:val="24"/>
        </w:rPr>
      </w:pPr>
      <w:r>
        <w:rPr>
          <w:rFonts w:hint="eastAsia" w:ascii="宋体" w:hAnsi="宋体"/>
          <w:b/>
          <w:sz w:val="24"/>
        </w:rPr>
        <w:t>★</w:t>
      </w:r>
      <w:r>
        <w:rPr>
          <w:rFonts w:hint="eastAsia" w:ascii="宋体" w:hAnsi="宋体" w:cs="宋体"/>
          <w:b/>
          <w:bCs/>
          <w:sz w:val="24"/>
        </w:rPr>
        <w:t>八、</w:t>
      </w:r>
      <w:r>
        <w:rPr>
          <w:rFonts w:hint="eastAsia" w:ascii="宋体" w:hAnsi="宋体" w:cs="宋体"/>
          <w:b/>
          <w:sz w:val="24"/>
        </w:rPr>
        <w:t>谈判响应文件</w:t>
      </w:r>
      <w:r>
        <w:rPr>
          <w:rFonts w:hint="eastAsia" w:ascii="宋体" w:hAnsi="宋体" w:cs="宋体"/>
          <w:b/>
          <w:bCs/>
          <w:sz w:val="24"/>
        </w:rPr>
        <w:t>的上传、递交、修改和撤回</w:t>
      </w:r>
    </w:p>
    <w:p>
      <w:pPr>
        <w:spacing w:line="440" w:lineRule="exact"/>
        <w:ind w:firstLine="480" w:firstLineChars="200"/>
        <w:rPr>
          <w:rFonts w:ascii="宋体" w:hAnsi="宋体" w:cs="宋体"/>
          <w:strike/>
          <w:sz w:val="24"/>
        </w:rPr>
      </w:pPr>
      <w:r>
        <w:rPr>
          <w:rFonts w:hint="eastAsia" w:ascii="宋体" w:hAnsi="宋体" w:cs="宋体"/>
          <w:sz w:val="24"/>
        </w:rPr>
        <w:t>谈判响应方在谈判截止时间之前，可以对已提交的电子谈判响应文件进行修改或撤回，并</w:t>
      </w:r>
      <w:r>
        <w:rPr>
          <w:rFonts w:hint="eastAsia" w:ascii="宋体" w:hAnsi="宋体" w:cs="宋体"/>
          <w:sz w:val="24"/>
          <w:lang w:eastAsia="zh-CN"/>
        </w:rPr>
        <w:t>电话</w:t>
      </w:r>
      <w:r>
        <w:rPr>
          <w:rFonts w:hint="eastAsia" w:ascii="宋体" w:hAnsi="宋体" w:cs="宋体"/>
          <w:sz w:val="24"/>
        </w:rPr>
        <w:t>通知招标采购单位</w:t>
      </w:r>
      <w:r>
        <w:rPr>
          <w:rFonts w:hint="eastAsia" w:ascii="宋体" w:hAnsi="宋体" w:cs="宋体"/>
          <w:sz w:val="24"/>
          <w:lang w:eastAsia="zh-CN"/>
        </w:rPr>
        <w:t>，再书面资料发邮箱确认</w:t>
      </w:r>
      <w:r>
        <w:rPr>
          <w:rFonts w:hint="eastAsia" w:ascii="宋体" w:hAnsi="宋体" w:cs="宋体"/>
          <w:sz w:val="24"/>
        </w:rPr>
        <w:t>；修改后重新递交的电子备份谈判响应文件应当按本招标文件的要求签署、盖章。谈判截止时间后，谈判响应方不得撤回、修改电子备份谈判响应文件。</w:t>
      </w:r>
    </w:p>
    <w:p>
      <w:pPr>
        <w:spacing w:line="440" w:lineRule="exact"/>
        <w:ind w:firstLine="482" w:firstLineChars="200"/>
        <w:rPr>
          <w:rFonts w:hint="eastAsia"/>
          <w:lang w:eastAsia="zh-CN"/>
        </w:rPr>
      </w:pPr>
      <w:r>
        <w:rPr>
          <w:rFonts w:hint="eastAsia" w:ascii="宋体" w:hAnsi="宋体" w:cs="宋体"/>
          <w:b/>
          <w:bCs/>
          <w:sz w:val="24"/>
          <w:lang w:eastAsia="zh-CN"/>
        </w:rPr>
        <w:t>特殊情况说明：有投标人在同一时间段重复发两次及以上的</w:t>
      </w:r>
      <w:r>
        <w:rPr>
          <w:rFonts w:hint="eastAsia" w:ascii="宋体" w:hAnsi="宋体" w:cs="宋体"/>
          <w:b/>
          <w:bCs/>
          <w:sz w:val="24"/>
        </w:rPr>
        <w:t>电子谈判响应文件</w:t>
      </w:r>
      <w:r>
        <w:rPr>
          <w:rFonts w:hint="eastAsia" w:ascii="宋体" w:hAnsi="宋体" w:cs="宋体"/>
          <w:b/>
          <w:bCs/>
          <w:sz w:val="24"/>
          <w:lang w:eastAsia="zh-CN"/>
        </w:rPr>
        <w:t>至邮箱的，开标时以最后一次时间为准。</w:t>
      </w:r>
    </w:p>
    <w:p>
      <w:pPr>
        <w:spacing w:line="440" w:lineRule="exact"/>
        <w:rPr>
          <w:rFonts w:ascii="宋体" w:hAnsi="宋体" w:cs="宋体"/>
          <w:b/>
          <w:bCs/>
          <w:sz w:val="24"/>
        </w:rPr>
      </w:pPr>
      <w:r>
        <w:rPr>
          <w:rFonts w:hint="eastAsia" w:ascii="宋体" w:hAnsi="宋体" w:cs="宋体"/>
          <w:b/>
          <w:bCs/>
          <w:sz w:val="24"/>
        </w:rPr>
        <w:t>九、无效谈判的具体情形</w:t>
      </w:r>
    </w:p>
    <w:p>
      <w:pPr>
        <w:spacing w:line="440" w:lineRule="exact"/>
        <w:ind w:firstLine="360" w:firstLineChars="150"/>
        <w:rPr>
          <w:rFonts w:ascii="宋体" w:hAnsi="宋体" w:cs="宋体"/>
          <w:bCs/>
          <w:sz w:val="24"/>
        </w:rPr>
      </w:pPr>
      <w:r>
        <w:rPr>
          <w:rFonts w:hint="eastAsia" w:ascii="宋体" w:hAnsi="宋体" w:cs="宋体"/>
          <w:bCs/>
          <w:sz w:val="24"/>
        </w:rPr>
        <w:t>（1）未在规定的时间内进行谈判响应确认的；</w:t>
      </w:r>
    </w:p>
    <w:p>
      <w:pPr>
        <w:spacing w:line="440" w:lineRule="exact"/>
        <w:ind w:firstLine="360" w:firstLineChars="150"/>
        <w:rPr>
          <w:rFonts w:ascii="宋体" w:hAnsi="宋体" w:cs="宋体"/>
          <w:sz w:val="24"/>
        </w:rPr>
      </w:pPr>
      <w:r>
        <w:rPr>
          <w:rFonts w:hint="eastAsia" w:ascii="宋体" w:hAnsi="宋体" w:cs="宋体"/>
          <w:bCs/>
          <w:sz w:val="24"/>
        </w:rPr>
        <w:t>（2）</w:t>
      </w:r>
      <w:r>
        <w:rPr>
          <w:rFonts w:hint="eastAsia" w:ascii="宋体" w:hAnsi="宋体" w:cs="宋体"/>
          <w:sz w:val="24"/>
        </w:rPr>
        <w:t>谈判响应方仅提交电子备份谈判响应文件的；</w:t>
      </w:r>
    </w:p>
    <w:p>
      <w:pPr>
        <w:spacing w:line="440" w:lineRule="exact"/>
        <w:ind w:firstLine="360" w:firstLineChars="150"/>
        <w:rPr>
          <w:rFonts w:ascii="宋体" w:hAnsi="宋体" w:cs="宋体"/>
          <w:sz w:val="24"/>
        </w:rPr>
      </w:pPr>
      <w:r>
        <w:rPr>
          <w:rFonts w:hint="eastAsia" w:ascii="宋体" w:hAnsi="宋体" w:cs="宋体"/>
          <w:bCs/>
          <w:sz w:val="24"/>
        </w:rPr>
        <w:t>（3）</w:t>
      </w:r>
      <w:r>
        <w:rPr>
          <w:rFonts w:hint="eastAsia" w:ascii="宋体" w:hAnsi="宋体" w:cs="宋体"/>
          <w:sz w:val="24"/>
        </w:rPr>
        <w:t>在开评标时出现电子谈判响应文件无法读取或读取失败等情况，谈判响应方未提供电子备份谈判响应文件，无法对谈判响应方继续进行评审的；</w:t>
      </w:r>
    </w:p>
    <w:p>
      <w:pPr>
        <w:spacing w:line="440" w:lineRule="exact"/>
        <w:ind w:firstLine="360" w:firstLineChars="150"/>
        <w:rPr>
          <w:rFonts w:ascii="宋体" w:hAnsi="宋体" w:cs="宋体"/>
          <w:bCs/>
          <w:sz w:val="24"/>
        </w:rPr>
      </w:pPr>
      <w:r>
        <w:rPr>
          <w:rFonts w:hint="eastAsia" w:ascii="宋体" w:hAnsi="宋体"/>
          <w:sz w:val="24"/>
        </w:rPr>
        <w:t>（4）未提供招标文件中标有“*”、“ ▲”、“※”、“★”等特殊符号的证明文件的；</w:t>
      </w:r>
    </w:p>
    <w:p>
      <w:pPr>
        <w:spacing w:line="440" w:lineRule="exact"/>
        <w:ind w:firstLine="360" w:firstLineChars="150"/>
        <w:rPr>
          <w:rFonts w:ascii="宋体" w:hAnsi="宋体" w:cs="宋体"/>
          <w:bCs/>
          <w:sz w:val="24"/>
        </w:rPr>
      </w:pPr>
      <w:r>
        <w:rPr>
          <w:rFonts w:hint="eastAsia" w:ascii="宋体" w:hAnsi="宋体" w:cs="宋体"/>
          <w:bCs/>
          <w:sz w:val="24"/>
        </w:rPr>
        <w:t>（5）谈判响应方最终报价超过本项目采购人设定的最高限价的；</w:t>
      </w:r>
    </w:p>
    <w:p>
      <w:pPr>
        <w:snapToGrid w:val="0"/>
        <w:spacing w:line="440" w:lineRule="exact"/>
        <w:ind w:firstLine="360" w:firstLineChars="150"/>
        <w:rPr>
          <w:rFonts w:ascii="宋体" w:hAnsi="宋体" w:cs="宋体"/>
          <w:bCs/>
          <w:kern w:val="0"/>
          <w:sz w:val="24"/>
          <w:szCs w:val="20"/>
        </w:rPr>
      </w:pPr>
      <w:r>
        <w:rPr>
          <w:rFonts w:hint="eastAsia" w:ascii="宋体" w:hAnsi="宋体" w:cs="宋体"/>
          <w:sz w:val="24"/>
        </w:rPr>
        <w:t>（</w:t>
      </w:r>
      <w:r>
        <w:rPr>
          <w:rFonts w:ascii="宋体" w:hAnsi="宋体" w:cs="宋体"/>
          <w:sz w:val="24"/>
        </w:rPr>
        <w:t>6</w:t>
      </w:r>
      <w:r>
        <w:rPr>
          <w:rFonts w:hint="eastAsia" w:ascii="宋体" w:hAnsi="宋体" w:cs="宋体"/>
          <w:sz w:val="24"/>
        </w:rPr>
        <w:t>）谈判响应文件无法定代表人签字,或未</w:t>
      </w:r>
      <w:r>
        <w:rPr>
          <w:rFonts w:hint="eastAsia" w:ascii="宋体" w:hAnsi="宋体" w:cs="宋体"/>
          <w:bCs/>
          <w:kern w:val="0"/>
          <w:sz w:val="24"/>
        </w:rPr>
        <w:t>提供法定代表人授权委托书或者填写项目不齐全的；</w:t>
      </w:r>
    </w:p>
    <w:p>
      <w:pPr>
        <w:autoSpaceDE w:val="0"/>
        <w:autoSpaceDN w:val="0"/>
        <w:adjustRightInd w:val="0"/>
        <w:snapToGrid w:val="0"/>
        <w:spacing w:line="440" w:lineRule="exact"/>
        <w:ind w:firstLine="360" w:firstLineChars="150"/>
        <w:textAlignment w:val="baseline"/>
        <w:rPr>
          <w:rFonts w:ascii="宋体" w:hAnsi="宋体" w:cs="宋体"/>
          <w:snapToGrid w:val="0"/>
          <w:kern w:val="0"/>
          <w:sz w:val="24"/>
          <w:szCs w:val="20"/>
        </w:rPr>
      </w:pPr>
      <w:r>
        <w:rPr>
          <w:rFonts w:hint="eastAsia" w:ascii="宋体" w:hAnsi="宋体" w:cs="宋体"/>
          <w:kern w:val="0"/>
          <w:sz w:val="24"/>
          <w:szCs w:val="20"/>
        </w:rPr>
        <w:t>（</w:t>
      </w:r>
      <w:r>
        <w:rPr>
          <w:rFonts w:ascii="宋体" w:hAnsi="宋体" w:cs="宋体"/>
          <w:snapToGrid w:val="0"/>
          <w:kern w:val="0"/>
          <w:sz w:val="24"/>
          <w:szCs w:val="20"/>
        </w:rPr>
        <w:t>7</w:t>
      </w:r>
      <w:r>
        <w:rPr>
          <w:rFonts w:hint="eastAsia" w:ascii="宋体" w:hAnsi="宋体" w:cs="宋体"/>
          <w:snapToGrid w:val="0"/>
          <w:kern w:val="0"/>
          <w:sz w:val="24"/>
          <w:szCs w:val="20"/>
        </w:rPr>
        <w:t>）</w:t>
      </w:r>
      <w:r>
        <w:rPr>
          <w:rFonts w:hint="eastAsia" w:ascii="宋体" w:hAnsi="宋体" w:cs="宋体"/>
          <w:kern w:val="0"/>
          <w:sz w:val="24"/>
          <w:szCs w:val="20"/>
        </w:rPr>
        <w:t>谈判响应文件格式未按采购文件规定格式的、未按采购文件规定的内容编制谈判响应文件的或者内容虚假的</w:t>
      </w:r>
      <w:r>
        <w:rPr>
          <w:rFonts w:hint="eastAsia" w:ascii="宋体" w:hAnsi="宋体" w:cs="宋体"/>
          <w:bCs/>
          <w:kern w:val="0"/>
          <w:sz w:val="24"/>
          <w:szCs w:val="20"/>
        </w:rPr>
        <w:t>、未按规定签字或盖章的</w:t>
      </w:r>
      <w:r>
        <w:rPr>
          <w:rFonts w:hint="eastAsia" w:ascii="宋体" w:hAnsi="宋体" w:cs="宋体"/>
          <w:kern w:val="0"/>
          <w:sz w:val="24"/>
          <w:szCs w:val="20"/>
        </w:rPr>
        <w:t>；</w:t>
      </w:r>
    </w:p>
    <w:p>
      <w:pPr>
        <w:autoSpaceDE w:val="0"/>
        <w:autoSpaceDN w:val="0"/>
        <w:adjustRightInd w:val="0"/>
        <w:snapToGrid w:val="0"/>
        <w:spacing w:line="440" w:lineRule="exact"/>
        <w:ind w:firstLine="360" w:firstLineChars="150"/>
        <w:textAlignment w:val="baseline"/>
        <w:rPr>
          <w:rFonts w:ascii="宋体" w:hAnsi="宋体" w:cs="宋体"/>
          <w:snapToGrid w:val="0"/>
          <w:kern w:val="0"/>
          <w:sz w:val="24"/>
          <w:szCs w:val="20"/>
        </w:rPr>
      </w:pPr>
      <w:r>
        <w:rPr>
          <w:rFonts w:hint="eastAsia" w:ascii="宋体" w:hAnsi="宋体" w:cs="宋体"/>
          <w:kern w:val="0"/>
          <w:sz w:val="24"/>
          <w:szCs w:val="20"/>
        </w:rPr>
        <w:t>（</w:t>
      </w:r>
      <w:r>
        <w:rPr>
          <w:rFonts w:ascii="宋体" w:hAnsi="宋体" w:cs="宋体"/>
          <w:kern w:val="0"/>
          <w:sz w:val="24"/>
          <w:szCs w:val="20"/>
        </w:rPr>
        <w:t>8</w:t>
      </w:r>
      <w:r>
        <w:rPr>
          <w:rFonts w:hint="eastAsia" w:ascii="宋体" w:hAnsi="宋体" w:cs="宋体"/>
          <w:kern w:val="0"/>
          <w:sz w:val="24"/>
          <w:szCs w:val="20"/>
        </w:rPr>
        <w:t>）</w:t>
      </w:r>
      <w:r>
        <w:rPr>
          <w:rFonts w:hint="eastAsia" w:ascii="宋体" w:hAnsi="宋体" w:cs="宋体"/>
          <w:snapToGrid w:val="0"/>
          <w:kern w:val="0"/>
          <w:sz w:val="24"/>
          <w:szCs w:val="20"/>
        </w:rPr>
        <w:t>谈判有效期、服务期（工期）、免费维护期等商务条款不能满足采购文件要求的；</w:t>
      </w:r>
    </w:p>
    <w:p>
      <w:pPr>
        <w:autoSpaceDE w:val="0"/>
        <w:autoSpaceDN w:val="0"/>
        <w:adjustRightInd w:val="0"/>
        <w:snapToGrid w:val="0"/>
        <w:spacing w:line="440" w:lineRule="exact"/>
        <w:textAlignment w:val="baseline"/>
        <w:rPr>
          <w:rFonts w:ascii="宋体" w:hAnsi="宋体" w:cs="宋体"/>
          <w:kern w:val="0"/>
          <w:sz w:val="24"/>
          <w:szCs w:val="20"/>
        </w:rPr>
      </w:pPr>
      <w:r>
        <w:rPr>
          <w:rFonts w:hint="eastAsia" w:ascii="宋体" w:hAnsi="宋体" w:cs="宋体"/>
          <w:kern w:val="0"/>
          <w:sz w:val="24"/>
          <w:szCs w:val="20"/>
        </w:rPr>
        <w:t xml:space="preserve">   （</w:t>
      </w:r>
      <w:r>
        <w:rPr>
          <w:rFonts w:ascii="宋体" w:hAnsi="宋体" w:cs="宋体"/>
          <w:kern w:val="0"/>
          <w:sz w:val="24"/>
          <w:szCs w:val="20"/>
        </w:rPr>
        <w:t>9</w:t>
      </w:r>
      <w:r>
        <w:rPr>
          <w:rFonts w:hint="eastAsia" w:ascii="宋体" w:hAnsi="宋体" w:cs="宋体"/>
          <w:kern w:val="0"/>
          <w:sz w:val="24"/>
          <w:szCs w:val="20"/>
        </w:rPr>
        <w:t>）未实质性响应采购文件要求或者谈判响应文件有采购人不能接受的附加条件的；</w:t>
      </w:r>
    </w:p>
    <w:p>
      <w:pPr>
        <w:autoSpaceDE w:val="0"/>
        <w:autoSpaceDN w:val="0"/>
        <w:adjustRightInd w:val="0"/>
        <w:snapToGrid w:val="0"/>
        <w:spacing w:line="440" w:lineRule="exact"/>
        <w:ind w:firstLine="360" w:firstLineChars="150"/>
        <w:textAlignment w:val="baseline"/>
        <w:rPr>
          <w:rFonts w:ascii="宋体" w:hAnsi="宋体" w:cs="宋体"/>
          <w:kern w:val="0"/>
          <w:sz w:val="24"/>
          <w:szCs w:val="20"/>
        </w:rPr>
      </w:pPr>
      <w:r>
        <w:rPr>
          <w:rFonts w:hint="eastAsia" w:ascii="宋体" w:hAnsi="宋体" w:cs="宋体"/>
          <w:kern w:val="0"/>
          <w:sz w:val="24"/>
          <w:szCs w:val="20"/>
        </w:rPr>
        <w:t>（1</w:t>
      </w:r>
      <w:r>
        <w:rPr>
          <w:rFonts w:ascii="宋体" w:hAnsi="宋体" w:cs="宋体"/>
          <w:kern w:val="0"/>
          <w:sz w:val="24"/>
          <w:szCs w:val="20"/>
        </w:rPr>
        <w:t>0</w:t>
      </w:r>
      <w:r>
        <w:rPr>
          <w:rFonts w:hint="eastAsia" w:ascii="宋体" w:hAnsi="宋体" w:cs="宋体"/>
          <w:kern w:val="0"/>
          <w:sz w:val="24"/>
          <w:szCs w:val="20"/>
        </w:rPr>
        <w:t>）采购文件规定的其它谈判无效的情况；</w:t>
      </w:r>
    </w:p>
    <w:p>
      <w:pPr>
        <w:autoSpaceDE w:val="0"/>
        <w:autoSpaceDN w:val="0"/>
        <w:adjustRightInd w:val="0"/>
        <w:snapToGrid w:val="0"/>
        <w:spacing w:line="440" w:lineRule="exact"/>
        <w:ind w:firstLine="360" w:firstLineChars="150"/>
        <w:textAlignment w:val="baseline"/>
        <w:rPr>
          <w:rFonts w:hint="eastAsia" w:ascii="宋体" w:hAnsi="宋体" w:cs="宋体"/>
          <w:sz w:val="24"/>
        </w:rPr>
      </w:pPr>
      <w:r>
        <w:rPr>
          <w:rFonts w:hint="eastAsia" w:ascii="宋体" w:hAnsi="宋体" w:cs="宋体"/>
          <w:kern w:val="0"/>
          <w:sz w:val="24"/>
          <w:szCs w:val="20"/>
        </w:rPr>
        <w:t>（1</w:t>
      </w:r>
      <w:r>
        <w:rPr>
          <w:rFonts w:ascii="宋体" w:hAnsi="宋体" w:cs="宋体"/>
          <w:kern w:val="0"/>
          <w:sz w:val="24"/>
          <w:szCs w:val="20"/>
        </w:rPr>
        <w:t>1</w:t>
      </w:r>
      <w:r>
        <w:rPr>
          <w:rFonts w:hint="eastAsia" w:ascii="宋体" w:hAnsi="宋体" w:cs="宋体"/>
          <w:kern w:val="0"/>
          <w:sz w:val="24"/>
          <w:szCs w:val="20"/>
        </w:rPr>
        <w:t>）法律</w:t>
      </w:r>
      <w:r>
        <w:rPr>
          <w:rFonts w:hint="eastAsia" w:ascii="宋体" w:hAnsi="宋体" w:cs="宋体"/>
          <w:sz w:val="24"/>
        </w:rPr>
        <w:t>、法规规定的其它谈判无效情况。</w:t>
      </w:r>
    </w:p>
    <w:p>
      <w:pPr>
        <w:pStyle w:val="10"/>
        <w:keepNext w:val="0"/>
        <w:keepLines w:val="0"/>
        <w:pageBreakBefore w:val="0"/>
        <w:widowControl w:val="0"/>
        <w:kinsoku/>
        <w:wordWrap/>
        <w:overflowPunct/>
        <w:topLinePunct w:val="0"/>
        <w:autoSpaceDE/>
        <w:autoSpaceDN/>
        <w:bidi w:val="0"/>
        <w:adjustRightInd/>
        <w:snapToGrid w:val="0"/>
        <w:spacing w:beforeLines="0" w:afterLines="0" w:line="440" w:lineRule="exact"/>
        <w:textAlignment w:val="auto"/>
        <w:rPr>
          <w:rFonts w:hint="eastAsia" w:hAnsi="宋体"/>
          <w:b/>
          <w:bCs w:val="0"/>
          <w:color w:val="auto"/>
          <w:highlight w:val="none"/>
          <w:lang w:eastAsia="zh-CN"/>
        </w:rPr>
      </w:pPr>
    </w:p>
    <w:p>
      <w:pPr>
        <w:pStyle w:val="10"/>
        <w:keepNext w:val="0"/>
        <w:keepLines w:val="0"/>
        <w:pageBreakBefore w:val="0"/>
        <w:widowControl w:val="0"/>
        <w:kinsoku/>
        <w:wordWrap/>
        <w:overflowPunct/>
        <w:topLinePunct w:val="0"/>
        <w:autoSpaceDE/>
        <w:autoSpaceDN/>
        <w:bidi w:val="0"/>
        <w:adjustRightInd/>
        <w:snapToGrid w:val="0"/>
        <w:spacing w:beforeLines="0" w:afterLines="0" w:line="440" w:lineRule="exact"/>
        <w:textAlignment w:val="auto"/>
        <w:rPr>
          <w:rFonts w:hint="eastAsia" w:hAnsi="宋体"/>
          <w:bCs/>
          <w:color w:val="auto"/>
          <w:highlight w:val="none"/>
        </w:rPr>
      </w:pPr>
      <w:r>
        <w:rPr>
          <w:rFonts w:hint="eastAsia" w:hAnsi="宋体"/>
          <w:b/>
          <w:bCs w:val="0"/>
          <w:color w:val="auto"/>
          <w:highlight w:val="none"/>
          <w:lang w:eastAsia="zh-CN"/>
        </w:rPr>
        <w:t>十、</w:t>
      </w:r>
      <w:r>
        <w:rPr>
          <w:rFonts w:hint="eastAsia" w:hAnsi="宋体"/>
          <w:b/>
          <w:bCs w:val="0"/>
          <w:color w:val="auto"/>
          <w:highlight w:val="none"/>
        </w:rPr>
        <w:t>特殊情况处理</w:t>
      </w:r>
    </w:p>
    <w:p>
      <w:pPr>
        <w:pStyle w:val="3"/>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投标文件评审期间采购响应（指投标或谈判、报价，下同），出现有效供应商不足3家的，经</w:t>
      </w:r>
      <w:r>
        <w:rPr>
          <w:rFonts w:hint="eastAsia" w:ascii="宋体" w:hAnsi="宋体" w:cs="宋体"/>
          <w:kern w:val="0"/>
          <w:sz w:val="24"/>
          <w:szCs w:val="20"/>
          <w:lang w:val="en-US" w:eastAsia="zh-CN" w:bidi="ar-SA"/>
        </w:rPr>
        <w:t>学校</w:t>
      </w:r>
      <w:r>
        <w:rPr>
          <w:rFonts w:hint="eastAsia" w:ascii="宋体" w:hAnsi="宋体" w:eastAsia="宋体" w:cs="宋体"/>
          <w:kern w:val="0"/>
          <w:sz w:val="24"/>
          <w:szCs w:val="20"/>
          <w:lang w:val="en-US" w:eastAsia="zh-CN" w:bidi="ar-SA"/>
        </w:rPr>
        <w:t>同意，可以按原采购方式继续进行采购活动</w:t>
      </w:r>
      <w:r>
        <w:rPr>
          <w:rFonts w:hint="eastAsia" w:ascii="宋体" w:hAnsi="宋体" w:cs="宋体"/>
          <w:kern w:val="0"/>
          <w:sz w:val="24"/>
          <w:szCs w:val="20"/>
          <w:lang w:val="en-US" w:eastAsia="zh-CN" w:bidi="ar-SA"/>
        </w:rPr>
        <w:t>；</w:t>
      </w:r>
      <w:r>
        <w:rPr>
          <w:rFonts w:hint="eastAsia" w:ascii="宋体" w:hAnsi="宋体" w:eastAsia="宋体" w:cs="宋体"/>
          <w:kern w:val="0"/>
          <w:sz w:val="24"/>
          <w:szCs w:val="20"/>
          <w:lang w:val="en-US" w:eastAsia="zh-CN" w:bidi="ar-SA"/>
        </w:rPr>
        <w:t>出现有效供应商</w:t>
      </w:r>
      <w:r>
        <w:rPr>
          <w:rFonts w:hint="eastAsia" w:ascii="宋体" w:hAnsi="宋体" w:cs="宋体"/>
          <w:kern w:val="0"/>
          <w:sz w:val="24"/>
          <w:szCs w:val="20"/>
          <w:lang w:val="en-US" w:eastAsia="zh-CN" w:bidi="ar-SA"/>
        </w:rPr>
        <w:t>只有1</w:t>
      </w:r>
      <w:r>
        <w:rPr>
          <w:rFonts w:hint="eastAsia" w:ascii="宋体" w:hAnsi="宋体" w:eastAsia="宋体" w:cs="宋体"/>
          <w:kern w:val="0"/>
          <w:sz w:val="24"/>
          <w:szCs w:val="20"/>
          <w:lang w:val="en-US" w:eastAsia="zh-CN" w:bidi="ar-SA"/>
        </w:rPr>
        <w:t>家的</w:t>
      </w:r>
      <w:r>
        <w:rPr>
          <w:rFonts w:hint="eastAsia" w:ascii="宋体" w:hAnsi="宋体" w:cs="宋体"/>
          <w:kern w:val="0"/>
          <w:sz w:val="24"/>
          <w:szCs w:val="20"/>
          <w:lang w:val="en-US" w:eastAsia="zh-CN" w:bidi="ar-SA"/>
        </w:rPr>
        <w:t>更改为单一来源采购；</w:t>
      </w:r>
      <w:r>
        <w:rPr>
          <w:rFonts w:hint="eastAsia" w:ascii="宋体" w:hAnsi="宋体" w:eastAsia="宋体" w:cs="宋体"/>
          <w:kern w:val="0"/>
          <w:sz w:val="24"/>
          <w:szCs w:val="20"/>
          <w:lang w:val="en-US" w:eastAsia="zh-CN" w:bidi="ar-SA"/>
        </w:rPr>
        <w:t>更改采购方式时，原评标委员会所有成员，单一来源采购的谈判小组成员。</w:t>
      </w:r>
    </w:p>
    <w:p>
      <w:pPr>
        <w:pStyle w:val="44"/>
        <w:snapToGrid w:val="0"/>
        <w:spacing w:line="360" w:lineRule="auto"/>
        <w:ind w:firstLine="480"/>
        <w:rPr>
          <w:rFonts w:cs="宋体"/>
          <w:bCs/>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keepNext w:val="0"/>
        <w:keepLines w:val="0"/>
        <w:pageBreakBefore/>
        <w:spacing w:line="415" w:lineRule="auto"/>
        <w:jc w:val="center"/>
        <w:rPr>
          <w:rFonts w:ascii="宋体" w:hAnsi="宋体" w:cs="宋体"/>
          <w:sz w:val="32"/>
          <w:szCs w:val="32"/>
        </w:rPr>
      </w:pPr>
      <w:bookmarkStart w:id="7" w:name="_Toc31127"/>
      <w:r>
        <w:rPr>
          <w:rFonts w:hint="eastAsia" w:ascii="宋体" w:hAnsi="宋体" w:cs="宋体"/>
          <w:sz w:val="32"/>
          <w:szCs w:val="32"/>
        </w:rPr>
        <w:t>第五章 谈判方法和程序</w:t>
      </w:r>
      <w:bookmarkEnd w:id="7"/>
    </w:p>
    <w:p>
      <w:pPr>
        <w:spacing w:line="360" w:lineRule="auto"/>
        <w:rPr>
          <w:rFonts w:ascii="宋体" w:hAnsi="宋体" w:cs="宋体"/>
          <w:b/>
          <w:sz w:val="24"/>
        </w:rPr>
      </w:pPr>
      <w:r>
        <w:rPr>
          <w:rFonts w:hint="eastAsia" w:ascii="宋体" w:hAnsi="宋体" w:cs="宋体"/>
          <w:b/>
          <w:sz w:val="24"/>
        </w:rPr>
        <w:t>一</w:t>
      </w:r>
      <w:r>
        <w:rPr>
          <w:rFonts w:hint="eastAsia" w:ascii="宋体" w:hAnsi="宋体" w:cs="宋体"/>
          <w:sz w:val="24"/>
        </w:rPr>
        <w:t>、</w:t>
      </w:r>
      <w:r>
        <w:rPr>
          <w:rFonts w:hint="eastAsia" w:ascii="宋体" w:hAnsi="宋体" w:cs="宋体"/>
          <w:b/>
          <w:sz w:val="24"/>
        </w:rPr>
        <w:t>开标准备</w:t>
      </w:r>
    </w:p>
    <w:p>
      <w:pPr>
        <w:spacing w:line="360" w:lineRule="auto"/>
        <w:ind w:firstLine="480" w:firstLineChars="200"/>
        <w:rPr>
          <w:rFonts w:ascii="宋体" w:hAnsi="宋体" w:cs="宋体"/>
          <w:bCs/>
          <w:strike/>
          <w:sz w:val="24"/>
        </w:rPr>
      </w:pPr>
      <w:r>
        <w:rPr>
          <w:rFonts w:hint="eastAsia" w:ascii="宋体" w:hAnsi="宋体" w:cs="宋体"/>
          <w:bCs/>
          <w:sz w:val="24"/>
        </w:rPr>
        <w:t>将在规定的时间和地点进行电子开标，谈判响应方的法定代表人或其委托代理人【委托代理人应当是谈判响应方的在职正式职工】应做好谈判响应准备，准时在线参加电子开标会议，随时关注开标进度。</w:t>
      </w:r>
    </w:p>
    <w:p>
      <w:pPr>
        <w:spacing w:line="360" w:lineRule="auto"/>
        <w:rPr>
          <w:rFonts w:ascii="宋体" w:hAnsi="宋体" w:cs="宋体"/>
          <w:b/>
          <w:sz w:val="24"/>
        </w:rPr>
      </w:pPr>
      <w:r>
        <w:rPr>
          <w:rFonts w:hint="eastAsia" w:ascii="宋体" w:hAnsi="宋体" w:cs="宋体"/>
          <w:b/>
          <w:sz w:val="24"/>
        </w:rPr>
        <w:t>二、谈判小组</w:t>
      </w:r>
    </w:p>
    <w:p>
      <w:pPr>
        <w:spacing w:line="360" w:lineRule="auto"/>
        <w:ind w:firstLine="480" w:firstLineChars="200"/>
        <w:rPr>
          <w:rFonts w:ascii="宋体" w:hAnsi="宋体" w:cs="宋体"/>
          <w:sz w:val="24"/>
        </w:rPr>
      </w:pPr>
      <w:r>
        <w:rPr>
          <w:rFonts w:hint="eastAsia" w:ascii="宋体" w:hAnsi="宋体" w:cs="宋体"/>
          <w:sz w:val="24"/>
        </w:rPr>
        <w:t>我校将根据谈判项目的特点依法组建谈判小组，人员由学校评审专家</w:t>
      </w:r>
      <w:r>
        <w:rPr>
          <w:rFonts w:ascii="宋体" w:hAnsi="宋体" w:cs="宋体"/>
          <w:sz w:val="24"/>
          <w:u w:val="single"/>
        </w:rPr>
        <w:t>2</w:t>
      </w:r>
      <w:r>
        <w:rPr>
          <w:rFonts w:hint="eastAsia" w:ascii="宋体" w:hAnsi="宋体" w:cs="宋体"/>
          <w:sz w:val="24"/>
        </w:rPr>
        <w:t>人和采购部门代表</w:t>
      </w:r>
      <w:r>
        <w:rPr>
          <w:rFonts w:hint="eastAsia" w:ascii="宋体" w:hAnsi="宋体" w:cs="宋体"/>
          <w:sz w:val="24"/>
          <w:u w:val="single"/>
        </w:rPr>
        <w:t>1</w:t>
      </w:r>
      <w:r>
        <w:rPr>
          <w:rFonts w:hint="eastAsia" w:ascii="宋体" w:hAnsi="宋体" w:cs="宋体"/>
          <w:sz w:val="24"/>
        </w:rPr>
        <w:t>人,共</w:t>
      </w:r>
      <w:r>
        <w:rPr>
          <w:rFonts w:ascii="宋体" w:hAnsi="宋体" w:cs="宋体"/>
          <w:sz w:val="24"/>
          <w:u w:val="single"/>
        </w:rPr>
        <w:t>3</w:t>
      </w:r>
      <w:r>
        <w:rPr>
          <w:rFonts w:hint="eastAsia" w:ascii="宋体" w:hAnsi="宋体" w:cs="宋体"/>
          <w:sz w:val="24"/>
        </w:rPr>
        <w:t>人组成（允许采购人不推荐采购人代表参加，如采购人不推荐采购人代表参加评审时，谈判小组（</w:t>
      </w:r>
      <w:r>
        <w:rPr>
          <w:rFonts w:ascii="宋体" w:hAnsi="宋体" w:cs="宋体"/>
          <w:sz w:val="24"/>
        </w:rPr>
        <w:t>3</w:t>
      </w:r>
      <w:r>
        <w:rPr>
          <w:rFonts w:hint="eastAsia" w:ascii="宋体" w:hAnsi="宋体" w:cs="宋体"/>
          <w:sz w:val="24"/>
        </w:rPr>
        <w:t>人）都从评标专家库中抽取），其成员从采购人和政采购评审的具有技术、商务等方面专长的专家库中通过随机方式抽取组成谈判小组,将对谈判响应文件进行审查、质疑、评估和比较。</w:t>
      </w:r>
    </w:p>
    <w:p>
      <w:pPr>
        <w:spacing w:line="360" w:lineRule="auto"/>
        <w:rPr>
          <w:rFonts w:ascii="宋体" w:hAnsi="宋体" w:cs="宋体"/>
          <w:b/>
          <w:sz w:val="24"/>
        </w:rPr>
      </w:pPr>
      <w:r>
        <w:rPr>
          <w:rFonts w:hint="eastAsia" w:ascii="宋体" w:hAnsi="宋体" w:cs="宋体"/>
          <w:b/>
          <w:sz w:val="24"/>
        </w:rPr>
        <w:t>三、谈判评审原则与方法</w:t>
      </w:r>
    </w:p>
    <w:p>
      <w:pPr>
        <w:spacing w:line="360" w:lineRule="auto"/>
        <w:ind w:firstLine="480" w:firstLineChars="200"/>
        <w:rPr>
          <w:rFonts w:ascii="宋体" w:hAnsi="宋体"/>
          <w:sz w:val="24"/>
        </w:rPr>
      </w:pPr>
      <w:r>
        <w:rPr>
          <w:rFonts w:hint="eastAsia" w:ascii="宋体" w:hAnsi="宋体"/>
          <w:sz w:val="24"/>
        </w:rPr>
        <w:t>1、依照《中华人民共和国政府采购法》、《中华人民共和国政府采购法实施条例》、《政府采购货物和服务招投标管理办法》、《政府采购非招标采购方式管理办法》（财政部第74号令）、《浙江省财政厅关于印发浙江省政府采购项目电子交易管理暂行办法的通知》以及政府采购的特殊性确定谈判方法，并遵循公开、公平、公正的原则，谈判小组对谈判响应方提供的技术性能、售后服务、资信情况、履约能力等进行综合分析考评。</w:t>
      </w:r>
    </w:p>
    <w:p>
      <w:pPr>
        <w:spacing w:line="360" w:lineRule="auto"/>
        <w:rPr>
          <w:rFonts w:ascii="宋体" w:hAnsi="宋体"/>
          <w:sz w:val="24"/>
        </w:rPr>
      </w:pPr>
      <w:r>
        <w:rPr>
          <w:rFonts w:hint="eastAsia" w:ascii="宋体" w:hAnsi="宋体"/>
          <w:sz w:val="24"/>
        </w:rPr>
        <w:t xml:space="preserve">    2、客观公正的对待所有谈判响应方，对所有谈判评价，均采用相同的程序和标准。在谈判期间，谈判响应方不得向谈判小组成员询问谈判情况，不得进行旨在影响谈判结果的活动。否则将废除其参加谈判资格。</w:t>
      </w:r>
    </w:p>
    <w:p>
      <w:pPr>
        <w:spacing w:line="360" w:lineRule="auto"/>
        <w:ind w:firstLine="480" w:firstLineChars="200"/>
        <w:rPr>
          <w:rFonts w:ascii="宋体" w:hAnsi="宋体"/>
          <w:sz w:val="24"/>
        </w:rPr>
      </w:pPr>
      <w:r>
        <w:rPr>
          <w:rFonts w:hint="eastAsia" w:ascii="宋体" w:hAnsi="宋体"/>
          <w:sz w:val="24"/>
        </w:rPr>
        <w:t>3、在谈判过程中，谈判小组成员不得与谈判响应方私下交换意见，在谈判工作结束后，凡与谈判情况有接触的任何人不得将谈判情况扩散出谈判小组成员之外。</w:t>
      </w:r>
    </w:p>
    <w:p>
      <w:pPr>
        <w:spacing w:line="360" w:lineRule="auto"/>
        <w:ind w:firstLine="480" w:firstLineChars="200"/>
        <w:rPr>
          <w:rFonts w:ascii="宋体" w:hAnsi="宋体"/>
          <w:sz w:val="24"/>
        </w:rPr>
      </w:pPr>
      <w:r>
        <w:rPr>
          <w:rFonts w:hint="eastAsia" w:ascii="宋体" w:hAnsi="宋体"/>
          <w:sz w:val="24"/>
        </w:rPr>
        <w:t>4、谈判小组不向落标方解释落标原因，不退还谈判响应文件。</w:t>
      </w:r>
    </w:p>
    <w:p>
      <w:pPr>
        <w:spacing w:line="360" w:lineRule="auto"/>
        <w:ind w:firstLine="480" w:firstLineChars="200"/>
        <w:rPr>
          <w:rFonts w:ascii="宋体" w:hAnsi="宋体"/>
          <w:sz w:val="24"/>
        </w:rPr>
      </w:pPr>
      <w:r>
        <w:rPr>
          <w:rFonts w:hint="eastAsia" w:ascii="宋体" w:hAnsi="宋体"/>
          <w:sz w:val="24"/>
        </w:rPr>
        <w:t>5、审查谈判响应文件时，资信商务、技术按未做出实质性响应处理，作无效标处理；</w:t>
      </w:r>
    </w:p>
    <w:p>
      <w:pPr>
        <w:spacing w:line="360" w:lineRule="auto"/>
        <w:ind w:firstLine="480" w:firstLineChars="200"/>
        <w:rPr>
          <w:rFonts w:ascii="宋体" w:hAnsi="宋体"/>
          <w:b/>
          <w:i/>
          <w:sz w:val="24"/>
        </w:rPr>
      </w:pPr>
      <w:r>
        <w:rPr>
          <w:rFonts w:hint="eastAsia" w:ascii="宋体" w:hAnsi="宋体"/>
          <w:sz w:val="24"/>
        </w:rPr>
        <w:t>6、本次谈判经谈判小组审核后，资信商务、技术实质性响应的响应方进入谈判</w:t>
      </w:r>
      <w:r>
        <w:rPr>
          <w:rFonts w:hint="eastAsia" w:ascii="宋体" w:hAnsi="宋体"/>
          <w:bCs/>
          <w:sz w:val="24"/>
        </w:rPr>
        <w:t>程序，进行报价部分的谈判。</w:t>
      </w:r>
    </w:p>
    <w:p>
      <w:pPr>
        <w:spacing w:line="360" w:lineRule="auto"/>
        <w:ind w:firstLine="482" w:firstLineChars="200"/>
        <w:rPr>
          <w:rFonts w:ascii="宋体" w:hAnsi="宋体"/>
          <w:b/>
          <w:bCs/>
          <w:sz w:val="24"/>
        </w:rPr>
      </w:pPr>
      <w:r>
        <w:rPr>
          <w:rFonts w:hint="eastAsia" w:ascii="宋体" w:hAnsi="宋体"/>
          <w:b/>
          <w:bCs/>
          <w:sz w:val="24"/>
        </w:rPr>
        <w:t>7、进行谈判，最后一次报价时所有谈判响应方同时提供最终报价，评判价格以最后一次有效报价为准</w:t>
      </w:r>
      <w:r>
        <w:rPr>
          <w:rFonts w:ascii="宋体" w:hAnsi="宋体"/>
          <w:b/>
          <w:bCs/>
          <w:sz w:val="24"/>
        </w:rPr>
        <w:t>，</w:t>
      </w:r>
      <w:r>
        <w:rPr>
          <w:rFonts w:hint="eastAsia" w:ascii="宋体" w:hAnsi="宋体"/>
          <w:b/>
          <w:bCs/>
          <w:sz w:val="24"/>
        </w:rPr>
        <w:t>报价</w:t>
      </w:r>
      <w:r>
        <w:rPr>
          <w:rFonts w:ascii="宋体" w:hAnsi="宋体"/>
          <w:b/>
          <w:bCs/>
          <w:sz w:val="24"/>
        </w:rPr>
        <w:t>不少于</w:t>
      </w:r>
      <w:r>
        <w:rPr>
          <w:rFonts w:hint="eastAsia" w:ascii="宋体" w:hAnsi="宋体"/>
          <w:b/>
          <w:bCs/>
          <w:sz w:val="24"/>
        </w:rPr>
        <w:t>两轮。</w:t>
      </w:r>
    </w:p>
    <w:p>
      <w:pPr>
        <w:spacing w:line="360" w:lineRule="auto"/>
        <w:ind w:firstLine="480" w:firstLineChars="200"/>
        <w:rPr>
          <w:rFonts w:ascii="宋体" w:hAnsi="宋体" w:cs="宋体"/>
          <w:b/>
          <w:sz w:val="24"/>
        </w:rPr>
      </w:pPr>
      <w:r>
        <w:rPr>
          <w:rFonts w:hint="eastAsia" w:ascii="宋体" w:hAnsi="宋体"/>
          <w:bCs/>
          <w:sz w:val="24"/>
        </w:rPr>
        <w:t>8、谈判小组根据谈判响应方的最终有效报价，确定最低有效报价者为中标候选单位。</w:t>
      </w:r>
    </w:p>
    <w:p>
      <w:pPr>
        <w:numPr>
          <w:ilvl w:val="0"/>
          <w:numId w:val="6"/>
        </w:numPr>
        <w:spacing w:line="360" w:lineRule="auto"/>
        <w:rPr>
          <w:rFonts w:ascii="宋体" w:hAnsi="宋体" w:cs="宋体"/>
          <w:b/>
          <w:sz w:val="24"/>
        </w:rPr>
      </w:pPr>
      <w:r>
        <w:rPr>
          <w:rFonts w:hint="eastAsia" w:ascii="宋体" w:hAnsi="宋体" w:cs="宋体"/>
          <w:b/>
          <w:sz w:val="24"/>
        </w:rPr>
        <w:t>谈判程序</w:t>
      </w:r>
    </w:p>
    <w:p>
      <w:pPr>
        <w:spacing w:line="360" w:lineRule="auto"/>
        <w:ind w:firstLine="480" w:firstLineChars="200"/>
        <w:rPr>
          <w:rFonts w:ascii="宋体" w:hAnsi="宋体" w:cs="宋体"/>
          <w:bCs/>
          <w:sz w:val="24"/>
        </w:rPr>
      </w:pPr>
      <w:r>
        <w:rPr>
          <w:rFonts w:hint="eastAsia" w:ascii="宋体" w:hAnsi="宋体" w:cs="宋体"/>
          <w:bCs/>
          <w:sz w:val="24"/>
        </w:rPr>
        <w:t>1.开标会由招标代理机构主持，主持人宣布谈判开始；</w:t>
      </w:r>
    </w:p>
    <w:p>
      <w:pPr>
        <w:spacing w:line="360" w:lineRule="auto"/>
        <w:ind w:firstLine="480" w:firstLineChars="200"/>
        <w:rPr>
          <w:rFonts w:ascii="宋体" w:hAnsi="宋体" w:cs="宋体"/>
          <w:bCs/>
          <w:sz w:val="24"/>
        </w:rPr>
      </w:pPr>
      <w:r>
        <w:rPr>
          <w:rFonts w:hint="eastAsia" w:ascii="宋体" w:hAnsi="宋体" w:cs="宋体"/>
          <w:bCs/>
          <w:sz w:val="24"/>
        </w:rPr>
        <w:t xml:space="preserve">2.主持人介绍参加开评标的人员名单； </w:t>
      </w:r>
    </w:p>
    <w:p>
      <w:pPr>
        <w:spacing w:line="360" w:lineRule="auto"/>
        <w:ind w:firstLine="480" w:firstLineChars="200"/>
      </w:pPr>
      <w:r>
        <w:rPr>
          <w:rFonts w:hint="eastAsia" w:ascii="宋体" w:hAnsi="宋体" w:cs="宋体"/>
          <w:bCs/>
          <w:sz w:val="24"/>
        </w:rPr>
        <w:t>3.主持人宣布评标会议纪律及评标期间的有关事项；告知应当回避的情形,提请有关人员回避；</w:t>
      </w:r>
    </w:p>
    <w:p>
      <w:pPr>
        <w:spacing w:line="360" w:lineRule="auto"/>
        <w:ind w:firstLine="480" w:firstLineChars="200"/>
        <w:rPr>
          <w:rFonts w:ascii="宋体"/>
          <w:sz w:val="24"/>
        </w:rPr>
      </w:pPr>
      <w:r>
        <w:rPr>
          <w:rFonts w:hint="eastAsia" w:ascii="宋体"/>
          <w:sz w:val="24"/>
        </w:rPr>
        <w:t>4.谈判及评审程序</w:t>
      </w:r>
    </w:p>
    <w:p>
      <w:pPr>
        <w:spacing w:line="360" w:lineRule="auto"/>
        <w:ind w:firstLine="480" w:firstLineChars="200"/>
        <w:rPr>
          <w:rFonts w:ascii="宋体" w:hAnsi="宋体" w:cs="宋体"/>
          <w:sz w:val="24"/>
        </w:rPr>
      </w:pPr>
      <w:r>
        <w:rPr>
          <w:rFonts w:hint="eastAsia" w:ascii="宋体" w:hAnsi="宋体" w:cs="宋体"/>
          <w:sz w:val="24"/>
        </w:rPr>
        <w:t>4.1由采购人或代理机构进行资格审查；</w:t>
      </w:r>
    </w:p>
    <w:p>
      <w:pPr>
        <w:spacing w:line="360" w:lineRule="auto"/>
        <w:ind w:left="479" w:leftChars="228"/>
        <w:rPr>
          <w:rFonts w:ascii="宋体"/>
          <w:sz w:val="24"/>
        </w:rPr>
      </w:pPr>
      <w:r>
        <w:rPr>
          <w:rFonts w:hint="eastAsia" w:ascii="宋体" w:hAnsi="宋体" w:cs="宋体"/>
          <w:sz w:val="24"/>
        </w:rPr>
        <w:t>4.2</w:t>
      </w:r>
      <w:r>
        <w:rPr>
          <w:rFonts w:hint="eastAsia" w:ascii="宋体"/>
          <w:sz w:val="24"/>
        </w:rPr>
        <w:t>谈判小组审核谈判文件。</w:t>
      </w:r>
    </w:p>
    <w:p>
      <w:pPr>
        <w:spacing w:line="360" w:lineRule="auto"/>
        <w:ind w:firstLine="480" w:firstLineChars="200"/>
        <w:rPr>
          <w:rFonts w:ascii="宋体"/>
          <w:sz w:val="24"/>
        </w:rPr>
      </w:pPr>
      <w:r>
        <w:rPr>
          <w:rFonts w:hint="eastAsia" w:ascii="宋体"/>
          <w:sz w:val="24"/>
        </w:rPr>
        <w:t>（1）谈判响应方所提供的服务是否满足采购要求；</w:t>
      </w:r>
    </w:p>
    <w:p>
      <w:pPr>
        <w:spacing w:line="360" w:lineRule="auto"/>
        <w:ind w:firstLine="480" w:firstLineChars="200"/>
        <w:rPr>
          <w:rFonts w:ascii="宋体"/>
          <w:sz w:val="24"/>
        </w:rPr>
      </w:pPr>
      <w:r>
        <w:rPr>
          <w:rFonts w:hint="eastAsia" w:ascii="宋体"/>
          <w:sz w:val="24"/>
        </w:rPr>
        <w:t>（2）资信情况、履约能力；</w:t>
      </w:r>
    </w:p>
    <w:p>
      <w:pPr>
        <w:pStyle w:val="19"/>
        <w:spacing w:line="360" w:lineRule="auto"/>
        <w:ind w:firstLine="480" w:firstLineChars="200"/>
      </w:pPr>
      <w:r>
        <w:rPr>
          <w:rFonts w:hint="eastAsia" w:ascii="宋体"/>
          <w:sz w:val="24"/>
        </w:rPr>
        <w:t>（3）谈判文件规定的其他相关要求。</w:t>
      </w:r>
    </w:p>
    <w:p>
      <w:pPr>
        <w:spacing w:line="360" w:lineRule="auto"/>
        <w:ind w:firstLine="480" w:firstLineChars="200"/>
        <w:rPr>
          <w:rFonts w:ascii="宋体"/>
          <w:sz w:val="24"/>
        </w:rPr>
      </w:pPr>
      <w:r>
        <w:rPr>
          <w:rFonts w:hint="eastAsia" w:ascii="宋体"/>
          <w:sz w:val="24"/>
        </w:rPr>
        <w:t>4.3依据谈判文件的规定，从谈判响应文件的有效性、完整性和对谈判文件的响应程度进行审查，以确定是否对谈判文件的实质性要求做出响应。</w:t>
      </w:r>
    </w:p>
    <w:p>
      <w:pPr>
        <w:spacing w:line="360" w:lineRule="auto"/>
        <w:ind w:firstLine="480" w:firstLineChars="200"/>
        <w:rPr>
          <w:rFonts w:ascii="宋体" w:hAnsi="宋体" w:cs="宋体"/>
          <w:kern w:val="0"/>
          <w:sz w:val="24"/>
        </w:rPr>
      </w:pPr>
      <w:r>
        <w:rPr>
          <w:rFonts w:hint="eastAsia" w:ascii="宋体" w:hAnsi="宋体" w:cs="宋体"/>
          <w:kern w:val="0"/>
          <w:sz w:val="24"/>
        </w:rPr>
        <w:t>4.4 谈判小组汇总并讨论审核情况，根据技术参考内容，确定商务资信、技术通过符合性审查的谈判响应方。</w:t>
      </w:r>
    </w:p>
    <w:p>
      <w:pPr>
        <w:pStyle w:val="19"/>
        <w:ind w:firstLine="240"/>
      </w:pPr>
      <w:r>
        <w:rPr>
          <w:rFonts w:hint="eastAsia" w:ascii="宋体" w:hAnsi="宋体" w:cs="宋体"/>
          <w:kern w:val="0"/>
          <w:sz w:val="24"/>
        </w:rPr>
        <w:t xml:space="preserve">  4.5开启报价文件</w:t>
      </w:r>
    </w:p>
    <w:p>
      <w:pPr>
        <w:spacing w:line="360" w:lineRule="auto"/>
        <w:ind w:firstLine="480" w:firstLineChars="200"/>
        <w:rPr>
          <w:rFonts w:ascii="宋体" w:hAnsi="宋体" w:cs="宋体"/>
          <w:kern w:val="0"/>
          <w:sz w:val="27"/>
          <w:szCs w:val="27"/>
        </w:rPr>
      </w:pPr>
      <w:r>
        <w:rPr>
          <w:rFonts w:hint="eastAsia" w:ascii="宋体" w:hAnsi="宋体" w:cs="宋体"/>
          <w:kern w:val="0"/>
          <w:sz w:val="24"/>
        </w:rPr>
        <w:t>4.6谈判小组与商务资信、技术通过审查的谈判响应方进行报价商谈。</w:t>
      </w:r>
    </w:p>
    <w:p>
      <w:pPr>
        <w:spacing w:line="360" w:lineRule="auto"/>
        <w:ind w:firstLine="480" w:firstLineChars="200"/>
        <w:rPr>
          <w:rFonts w:ascii="宋体"/>
          <w:sz w:val="24"/>
        </w:rPr>
      </w:pPr>
      <w:r>
        <w:rPr>
          <w:rFonts w:hint="eastAsia" w:ascii="宋体"/>
          <w:sz w:val="24"/>
        </w:rPr>
        <w:t>（1）专家们就讨论和汇总的情况与供应商展开谈判；</w:t>
      </w:r>
    </w:p>
    <w:p>
      <w:pPr>
        <w:spacing w:line="360" w:lineRule="auto"/>
        <w:ind w:firstLine="480" w:firstLineChars="200"/>
        <w:rPr>
          <w:rFonts w:ascii="宋体"/>
          <w:sz w:val="24"/>
        </w:rPr>
      </w:pPr>
      <w:r>
        <w:rPr>
          <w:rFonts w:hint="eastAsia" w:ascii="宋体"/>
          <w:sz w:val="24"/>
        </w:rPr>
        <w:t>（2）供应商承诺并确认成果的商务要求，在政采云系统上进行最终报价。</w:t>
      </w:r>
    </w:p>
    <w:p>
      <w:pPr>
        <w:spacing w:line="360" w:lineRule="auto"/>
        <w:ind w:firstLine="480" w:firstLineChars="200"/>
        <w:rPr>
          <w:rFonts w:ascii="宋体"/>
          <w:sz w:val="24"/>
        </w:rPr>
      </w:pPr>
      <w:r>
        <w:rPr>
          <w:rFonts w:hint="eastAsia" w:ascii="宋体"/>
          <w:sz w:val="24"/>
        </w:rPr>
        <w:t>4.7谈判小组按谈判原则和方法推荐中标候选人并起草评审报告。</w:t>
      </w:r>
    </w:p>
    <w:p>
      <w:pPr>
        <w:spacing w:line="360" w:lineRule="auto"/>
        <w:ind w:firstLine="482" w:firstLineChars="200"/>
        <w:rPr>
          <w:rFonts w:ascii="宋体" w:hAnsi="宋体" w:cs="宋体"/>
          <w:b/>
          <w:sz w:val="24"/>
        </w:rPr>
      </w:pPr>
      <w:r>
        <w:rPr>
          <w:rFonts w:hint="eastAsia" w:ascii="宋体" w:hAnsi="宋体" w:cs="宋体"/>
          <w:b/>
          <w:sz w:val="24"/>
        </w:rPr>
        <w:t>五、中标通知</w:t>
      </w:r>
    </w:p>
    <w:p>
      <w:pPr>
        <w:spacing w:line="360" w:lineRule="auto"/>
        <w:ind w:firstLine="360" w:firstLineChars="150"/>
        <w:rPr>
          <w:rFonts w:ascii="宋体" w:hAnsi="宋体" w:cs="宋体"/>
          <w:sz w:val="24"/>
        </w:rPr>
      </w:pPr>
      <w:r>
        <w:rPr>
          <w:rFonts w:hint="eastAsia" w:ascii="宋体" w:hAnsi="宋体" w:cs="宋体"/>
          <w:sz w:val="24"/>
        </w:rPr>
        <w:t>（一）中标公告期限为1个工作日。谈判方以书面形式发出《中标通知书》，并同时在相关网站上公布成交结果。</w:t>
      </w:r>
    </w:p>
    <w:p>
      <w:pPr>
        <w:spacing w:line="360" w:lineRule="auto"/>
        <w:ind w:firstLine="360" w:firstLineChars="150"/>
        <w:rPr>
          <w:rFonts w:ascii="宋体" w:hAnsi="宋体" w:cs="宋体"/>
          <w:sz w:val="24"/>
        </w:rPr>
      </w:pPr>
      <w:r>
        <w:rPr>
          <w:rFonts w:hint="eastAsia" w:ascii="宋体" w:hAnsi="宋体" w:cs="宋体"/>
          <w:sz w:val="24"/>
        </w:rPr>
        <w:t>（二）确定中标人后，中标人应在三个工作日内，向谈判方领取《中标通知书》，否则按放弃中标资格处理，并因违反诚信原则，提交财政部门列入政府采购黑名单。</w:t>
      </w:r>
    </w:p>
    <w:p>
      <w:pPr>
        <w:spacing w:line="360" w:lineRule="auto"/>
        <w:ind w:firstLine="360" w:firstLineChars="150"/>
        <w:rPr>
          <w:rFonts w:ascii="宋体" w:hAnsi="宋体" w:cs="宋体"/>
          <w:sz w:val="24"/>
        </w:rPr>
      </w:pPr>
      <w:r>
        <w:rPr>
          <w:rFonts w:hint="eastAsia" w:ascii="宋体" w:hAnsi="宋体" w:cs="宋体"/>
          <w:sz w:val="24"/>
        </w:rPr>
        <w:t>（三）中标通知书发出后，若中标人放弃成交，应当承担相应的法律责任，中标通知书对采购人和中标谈判响应方具有同等法律效力。</w:t>
      </w:r>
    </w:p>
    <w:p>
      <w:pPr>
        <w:spacing w:line="360" w:lineRule="auto"/>
        <w:ind w:firstLine="482" w:firstLineChars="200"/>
        <w:rPr>
          <w:rFonts w:ascii="宋体" w:hAnsi="宋体" w:cs="宋体"/>
          <w:b/>
          <w:sz w:val="24"/>
        </w:rPr>
      </w:pPr>
      <w:r>
        <w:rPr>
          <w:rFonts w:hint="eastAsia" w:ascii="宋体" w:hAnsi="宋体" w:cs="宋体"/>
          <w:b/>
          <w:sz w:val="24"/>
        </w:rPr>
        <w:t>六、合同签订</w:t>
      </w:r>
    </w:p>
    <w:p>
      <w:pPr>
        <w:spacing w:line="360" w:lineRule="auto"/>
        <w:ind w:firstLine="480" w:firstLineChars="200"/>
        <w:rPr>
          <w:rFonts w:ascii="宋体" w:hAnsi="宋体" w:cs="宋体"/>
          <w:sz w:val="24"/>
        </w:rPr>
      </w:pPr>
      <w:r>
        <w:rPr>
          <w:rFonts w:hint="eastAsia" w:ascii="宋体" w:hAnsi="宋体" w:cs="宋体"/>
          <w:sz w:val="24"/>
        </w:rPr>
        <w:t>采购人与中标人应当在《中标通知书》发出之日起30日内签订采购合同，如中标人拖延、拒签合同，在30日内未完成合同签订的，按自动放弃中标处理，并承担相应的法律责任，中标通知书对采购人和中标单位具有同等法律效力。</w:t>
      </w:r>
    </w:p>
    <w:p>
      <w:pPr>
        <w:spacing w:line="360" w:lineRule="auto"/>
        <w:ind w:firstLine="480"/>
        <w:rPr>
          <w:rFonts w:cs="宋体"/>
          <w:bCs/>
          <w:color w:val="000000" w:themeColor="text1"/>
          <w:sz w:val="24"/>
          <w14:textFill>
            <w14:solidFill>
              <w14:schemeClr w14:val="tx1"/>
            </w14:solidFill>
          </w14:textFill>
        </w:rPr>
      </w:pPr>
      <w:r>
        <w:rPr>
          <w:color w:val="000000" w:themeColor="text1"/>
          <w14:textFill>
            <w14:solidFill>
              <w14:schemeClr w14:val="tx1"/>
            </w14:solidFill>
          </w14:textFill>
        </w:rPr>
        <w:br w:type="page"/>
      </w:r>
    </w:p>
    <w:p>
      <w:pPr>
        <w:snapToGrid w:val="0"/>
        <w:spacing w:line="360" w:lineRule="auto"/>
        <w:jc w:val="center"/>
        <w:outlineLvl w:val="0"/>
        <w:rPr>
          <w:rFonts w:ascii="宋体" w:hAnsi="宋体" w:cs="宋体"/>
          <w:b/>
          <w:bCs/>
          <w:color w:val="000000" w:themeColor="text1"/>
          <w:sz w:val="32"/>
          <w:szCs w:val="32"/>
          <w14:textFill>
            <w14:solidFill>
              <w14:schemeClr w14:val="tx1"/>
            </w14:solidFill>
          </w14:textFill>
        </w:rPr>
      </w:pPr>
      <w:bookmarkStart w:id="8" w:name="_Toc18309"/>
    </w:p>
    <w:p>
      <w:pPr>
        <w:snapToGrid w:val="0"/>
        <w:spacing w:line="360" w:lineRule="auto"/>
        <w:jc w:val="center"/>
        <w:outlineLvl w:val="0"/>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t>第</w:t>
      </w:r>
      <w:r>
        <w:rPr>
          <w:rFonts w:hint="eastAsia" w:ascii="宋体" w:hAnsi="宋体" w:cs="宋体"/>
          <w:b/>
          <w:bCs/>
          <w:color w:val="000000" w:themeColor="text1"/>
          <w:sz w:val="32"/>
          <w:szCs w:val="32"/>
          <w14:textFill>
            <w14:solidFill>
              <w14:schemeClr w14:val="tx1"/>
            </w14:solidFill>
          </w14:textFill>
        </w:rPr>
        <w:t>六</w:t>
      </w:r>
      <w:r>
        <w:rPr>
          <w:rFonts w:ascii="宋体" w:hAnsi="宋体" w:cs="宋体"/>
          <w:b/>
          <w:bCs/>
          <w:color w:val="000000" w:themeColor="text1"/>
          <w:sz w:val="32"/>
          <w:szCs w:val="32"/>
          <w14:textFill>
            <w14:solidFill>
              <w14:schemeClr w14:val="tx1"/>
            </w14:solidFill>
          </w14:textFill>
        </w:rPr>
        <w:t>章  采购合同主要条款</w:t>
      </w:r>
      <w:bookmarkEnd w:id="8"/>
    </w:p>
    <w:p>
      <w:pPr>
        <w:pStyle w:val="5"/>
        <w:keepNext w:val="0"/>
        <w:keepLines w:val="0"/>
        <w:spacing w:before="0" w:after="0" w:line="440" w:lineRule="exact"/>
        <w:jc w:val="center"/>
        <w:rPr>
          <w:rFonts w:ascii="宋体" w:hAnsi="宋体" w:cs="宋体"/>
          <w:bCs w:val="0"/>
          <w:color w:val="000000" w:themeColor="text1"/>
          <w:sz w:val="30"/>
          <w:szCs w:val="20"/>
          <w14:textFill>
            <w14:solidFill>
              <w14:schemeClr w14:val="tx1"/>
            </w14:solidFill>
          </w14:textFill>
        </w:rPr>
      </w:pPr>
      <w:bookmarkStart w:id="9" w:name="_Toc4485"/>
      <w:r>
        <w:rPr>
          <w:rFonts w:ascii="宋体" w:hAnsi="宋体" w:cs="宋体"/>
          <w:color w:val="000000" w:themeColor="text1"/>
          <w:sz w:val="30"/>
          <w14:textFill>
            <w14:solidFill>
              <w14:schemeClr w14:val="tx1"/>
            </w14:solidFill>
          </w14:textFill>
        </w:rPr>
        <w:t>采购合同（样本）</w:t>
      </w:r>
      <w:bookmarkEnd w:id="9"/>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项目名称：                   项目编号：               合同号：</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甲方（买方）：</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乙方（卖方）：</w:t>
      </w:r>
    </w:p>
    <w:p>
      <w:pPr>
        <w:snapToGrid w:val="0"/>
        <w:spacing w:before="156" w:after="156" w:line="360" w:lineRule="auto"/>
        <w:ind w:firstLine="480" w:firstLineChars="200"/>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甲、乙双方根据    年  月  日</w:t>
      </w:r>
      <w:r>
        <w:rPr>
          <w:rFonts w:hint="eastAsia" w:ascii="宋体" w:hAnsi="宋体" w:cs="宋体"/>
          <w:color w:val="000000" w:themeColor="text1"/>
          <w:sz w:val="24"/>
          <w14:textFill>
            <w14:solidFill>
              <w14:schemeClr w14:val="tx1"/>
            </w14:solidFill>
          </w14:textFill>
        </w:rPr>
        <w:t>浙江广厦建设职业技术大学</w:t>
      </w:r>
      <w:r>
        <w:rPr>
          <w:rFonts w:ascii="宋体" w:hAnsi="宋体" w:cs="宋体"/>
          <w:color w:val="000000" w:themeColor="text1"/>
          <w:sz w:val="24"/>
          <w14:textFill>
            <w14:solidFill>
              <w14:schemeClr w14:val="tx1"/>
            </w14:solidFill>
          </w14:textFill>
        </w:rPr>
        <w:t>关于项目公开招标的结果，签署本合同。</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一、货物内容</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货物名称：</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型号规格：</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技术参数：</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数量（单位）：</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二、合同金额</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本合同金额为（大写）：____________元（￥_______________元）人民币。</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三、技术资料</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1.乙方应按招标文件规定的时间向甲方提供使用货物的有关技术资料。</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没有甲方事先书面同意，乙方不得将由甲方提供的有关合同或任何合同条文、规</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格、计划、图纸、样品或资料提供给与履行本合同无关的任何其他人。即使向履行本</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合同有关的人员提供，也应注意保密并限于履行合同的必需范围。</w:t>
      </w:r>
    </w:p>
    <w:p>
      <w:pPr>
        <w:snapToGrid w:val="0"/>
        <w:spacing w:before="156" w:after="156" w:line="360" w:lineRule="auto"/>
        <w:ind w:left="412" w:hanging="412"/>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四、知识产权</w:t>
      </w:r>
    </w:p>
    <w:p>
      <w:pPr>
        <w:snapToGrid w:val="0"/>
        <w:spacing w:before="156" w:after="156" w:line="360" w:lineRule="auto"/>
        <w:rPr>
          <w:rFonts w:ascii="宋体" w:hAnsi="宋体" w:cs="宋体"/>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乙方应保证所提供的货物或其任何一部分均不会侵犯任何第三方的知识产权</w:t>
      </w:r>
      <w:r>
        <w:rPr>
          <w:rFonts w:ascii="宋体" w:hAnsi="宋体" w:cs="宋体"/>
          <w:bCs/>
          <w:color w:val="000000" w:themeColor="text1"/>
          <w:sz w:val="24"/>
          <w14:textFill>
            <w14:solidFill>
              <w14:schemeClr w14:val="tx1"/>
            </w14:solidFill>
          </w14:textFill>
        </w:rPr>
        <w:t>。</w:t>
      </w:r>
    </w:p>
    <w:p>
      <w:pPr>
        <w:pStyle w:val="47"/>
        <w:numPr>
          <w:ilvl w:val="0"/>
          <w:numId w:val="7"/>
        </w:numPr>
        <w:snapToGrid w:val="0"/>
        <w:spacing w:before="156" w:after="156" w:line="360" w:lineRule="auto"/>
        <w:ind w:firstLineChars="0"/>
        <w:rPr>
          <w:rFonts w:ascii="宋体" w:hAnsi="宋体" w:cs="宋体"/>
          <w:color w:val="000000" w:themeColor="text1"/>
          <w:sz w:val="24"/>
          <w:u w:val="single"/>
          <w14:textFill>
            <w14:solidFill>
              <w14:schemeClr w14:val="tx1"/>
            </w14:solidFill>
          </w14:textFill>
        </w:rPr>
      </w:pPr>
      <w:r>
        <w:rPr>
          <w:rFonts w:ascii="宋体" w:hAnsi="宋体" w:cs="宋体"/>
          <w:b/>
          <w:color w:val="000000" w:themeColor="text1"/>
          <w:sz w:val="24"/>
          <w14:textFill>
            <w14:solidFill>
              <w14:schemeClr w14:val="tx1"/>
            </w14:solidFill>
          </w14:textFill>
        </w:rPr>
        <w:t>产权担保</w:t>
      </w:r>
    </w:p>
    <w:p>
      <w:pPr>
        <w:snapToGrid w:val="0"/>
        <w:spacing w:before="156" w:after="156" w:line="360" w:lineRule="auto"/>
        <w:ind w:left="408" w:hanging="408"/>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乙方保证所交付的货物的所有权完全属于乙方且无任何抵押、查封等产权瑕疵。</w:t>
      </w:r>
    </w:p>
    <w:p>
      <w:pPr>
        <w:pStyle w:val="47"/>
        <w:numPr>
          <w:ilvl w:val="0"/>
          <w:numId w:val="7"/>
        </w:numPr>
        <w:snapToGrid w:val="0"/>
        <w:spacing w:before="156" w:after="156" w:line="360" w:lineRule="auto"/>
        <w:ind w:firstLineChars="0"/>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履约保证金</w:t>
      </w:r>
    </w:p>
    <w:p>
      <w:pPr>
        <w:snapToGrid w:val="0"/>
        <w:spacing w:before="156" w:after="156"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履约保证金为合同价款的</w:t>
      </w: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在合同签订前汇入甲方指定账户，于</w:t>
      </w:r>
      <w:r>
        <w:rPr>
          <w:rFonts w:ascii="宋体" w:hAnsi="宋体" w:cs="宋体"/>
          <w:color w:val="000000" w:themeColor="text1"/>
          <w:sz w:val="24"/>
          <w14:textFill>
            <w14:solidFill>
              <w14:schemeClr w14:val="tx1"/>
            </w14:solidFill>
          </w14:textFill>
        </w:rPr>
        <w:t>项目完成且验收合格（由采购人出具验收合格报告，要求原件）之日起15个工作日内退还。</w:t>
      </w:r>
    </w:p>
    <w:p>
      <w:pPr>
        <w:snapToGrid w:val="0"/>
        <w:spacing w:before="156" w:after="156" w:line="360" w:lineRule="auto"/>
        <w:ind w:left="410" w:hanging="410"/>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七、转包或分包</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1.本合同范围的货物，应由乙方直接供应，不得转让他人供应；</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2.除非得到甲方的书面同意，乙方不得将本合同范围的货物全部或部分分包给他人供应；</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3.如有转让和未经甲方同意的分包行为，甲方有权解除合同，没收履约保证金并追究乙方的违约责任。</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八、质保期和质保金</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质保期</w:t>
      </w:r>
      <w:r>
        <w:rPr>
          <w:rFonts w:ascii="宋体" w:hAnsi="宋体" w:cs="宋体"/>
          <w:color w:val="000000" w:themeColor="text1"/>
          <w:sz w:val="24"/>
          <w:u w:val="single"/>
          <w14:textFill>
            <w14:solidFill>
              <w14:schemeClr w14:val="tx1"/>
            </w14:solidFill>
          </w14:textFill>
        </w:rPr>
        <w:t xml:space="preserve">   1  </w:t>
      </w:r>
      <w:r>
        <w:rPr>
          <w:rFonts w:ascii="宋体" w:hAnsi="宋体" w:cs="宋体"/>
          <w:color w:val="000000" w:themeColor="text1"/>
          <w:sz w:val="24"/>
          <w14:textFill>
            <w14:solidFill>
              <w14:schemeClr w14:val="tx1"/>
            </w14:solidFill>
          </w14:textFill>
        </w:rPr>
        <w:t>年。（自交货验收合格之日起计）</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九、交货期、交货地点</w:t>
      </w:r>
    </w:p>
    <w:p>
      <w:pPr>
        <w:snapToGrid w:val="0"/>
        <w:spacing w:before="156" w:after="156" w:line="360" w:lineRule="auto"/>
        <w:rPr>
          <w:rFonts w:ascii="宋体" w:hAnsi="宋体" w:cs="宋体"/>
          <w:bCs/>
          <w:color w:val="000000" w:themeColor="text1"/>
          <w:sz w:val="24"/>
          <w:u w:val="single"/>
          <w14:textFill>
            <w14:solidFill>
              <w14:schemeClr w14:val="tx1"/>
            </w14:solidFill>
          </w14:textFill>
        </w:rPr>
      </w:pPr>
      <w:r>
        <w:rPr>
          <w:rFonts w:ascii="宋体" w:hAnsi="宋体" w:cs="宋体"/>
          <w:bCs/>
          <w:color w:val="000000" w:themeColor="text1"/>
          <w:sz w:val="24"/>
          <w14:textFill>
            <w14:solidFill>
              <w14:schemeClr w14:val="tx1"/>
            </w14:solidFill>
          </w14:textFill>
        </w:rPr>
        <w:t>1. 交货期：</w:t>
      </w:r>
    </w:p>
    <w:p>
      <w:pPr>
        <w:snapToGrid w:val="0"/>
        <w:spacing w:before="156" w:after="156" w:line="360" w:lineRule="auto"/>
        <w:rPr>
          <w:rFonts w:ascii="宋体" w:hAnsi="宋体" w:cs="宋体"/>
          <w:b/>
          <w:color w:val="000000" w:themeColor="text1"/>
          <w:sz w:val="24"/>
          <w:u w:val="single"/>
          <w14:textFill>
            <w14:solidFill>
              <w14:schemeClr w14:val="tx1"/>
            </w14:solidFill>
          </w14:textFill>
        </w:rPr>
      </w:pPr>
      <w:r>
        <w:rPr>
          <w:rFonts w:ascii="宋体" w:hAnsi="宋体" w:cs="宋体"/>
          <w:bCs/>
          <w:color w:val="000000" w:themeColor="text1"/>
          <w:sz w:val="24"/>
          <w14:textFill>
            <w14:solidFill>
              <w14:schemeClr w14:val="tx1"/>
            </w14:solidFill>
          </w14:textFill>
        </w:rPr>
        <w:t>2.交货地点：</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十、付款方式</w:t>
      </w:r>
    </w:p>
    <w:p>
      <w:pPr>
        <w:snapToGrid w:val="0"/>
        <w:spacing w:before="156" w:after="156" w:line="360" w:lineRule="auto"/>
        <w:rPr>
          <w:rFonts w:ascii="宋体" w:hAnsi="宋体" w:cs="宋体"/>
          <w:b/>
          <w:color w:val="000000" w:themeColor="text1"/>
          <w:sz w:val="24"/>
          <w:szCs w:val="20"/>
          <w14:textFill>
            <w14:solidFill>
              <w14:schemeClr w14:val="tx1"/>
            </w14:solidFill>
          </w14:textFill>
        </w:rPr>
      </w:pPr>
      <w:r>
        <w:rPr>
          <w:rFonts w:ascii="宋体" w:hAnsi="宋体" w:cs="宋体"/>
          <w:b/>
          <w:color w:val="000000" w:themeColor="text1"/>
          <w:sz w:val="24"/>
          <w14:textFill>
            <w14:solidFill>
              <w14:schemeClr w14:val="tx1"/>
            </w14:solidFill>
          </w14:textFill>
        </w:rPr>
        <w:t>十一、税费</w:t>
      </w:r>
    </w:p>
    <w:p>
      <w:pPr>
        <w:snapToGrid w:val="0"/>
        <w:spacing w:before="156" w:after="156" w:line="360" w:lineRule="auto"/>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本合同执行中相关的一切税费均由乙方负担。</w:t>
      </w:r>
    </w:p>
    <w:p>
      <w:pPr>
        <w:snapToGrid w:val="0"/>
        <w:spacing w:before="156" w:after="156" w:line="360" w:lineRule="auto"/>
        <w:ind w:left="412" w:hanging="412"/>
        <w:rPr>
          <w:rFonts w:ascii="宋体" w:hAnsi="宋体" w:cs="宋体"/>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十二、质量保证及售后服务</w:t>
      </w:r>
    </w:p>
    <w:p>
      <w:pPr>
        <w:tabs>
          <w:tab w:val="left" w:pos="0"/>
        </w:tabs>
        <w:snapToGrid w:val="0"/>
        <w:spacing w:before="156" w:after="156"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.乙方应按招标文件规定的货物性能、技术要求、质量标准向甲方提供</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未经使用的全新产品。</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乙方提供的货物在质保期内因货物本身的质量问题发生故障，乙方应负责免费更</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换。对达不到技术要求者，根据实际情况，经双方协商，可按以下办法处理：</w:t>
      </w:r>
    </w:p>
    <w:p>
      <w:pPr>
        <w:snapToGrid w:val="0"/>
        <w:spacing w:before="156" w:after="156" w:line="360" w:lineRule="auto"/>
        <w:ind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⑴更换：由乙方承担所发生的全部费用。</w:t>
      </w:r>
    </w:p>
    <w:p>
      <w:pPr>
        <w:snapToGrid w:val="0"/>
        <w:spacing w:before="156" w:after="156" w:line="360" w:lineRule="auto"/>
        <w:ind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⑵贬值处理：由甲乙双方合议定价。</w:t>
      </w:r>
    </w:p>
    <w:p>
      <w:pPr>
        <w:snapToGrid w:val="0"/>
        <w:spacing w:before="120" w:after="120" w:line="360" w:lineRule="auto"/>
        <w:ind w:left="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⑶退货处理：乙方应退还甲方支付的合同款，同时应承担该货物的直接费用（运输、保险、检验、货款利息及银行手续费等）。</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如在使用过程中发生质量问题，乙方在接到甲方通知后在小时内到达甲方现场。</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在质保期内，乙方应对货物出现的质量及安全问题负责处理解决并承担一切费用。</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5.上述的货物免费保修期为</w:t>
      </w:r>
      <w:r>
        <w:rPr>
          <w:rFonts w:ascii="宋体" w:hAnsi="宋体" w:cs="宋体"/>
          <w:color w:val="000000" w:themeColor="text1"/>
          <w:sz w:val="24"/>
          <w:u w:val="single"/>
          <w14:textFill>
            <w14:solidFill>
              <w14:schemeClr w14:val="tx1"/>
            </w14:solidFill>
          </w14:textFill>
        </w:rPr>
        <w:t xml:space="preserve">  3  </w:t>
      </w:r>
      <w:r>
        <w:rPr>
          <w:rFonts w:ascii="宋体" w:hAnsi="宋体" w:cs="宋体"/>
          <w:color w:val="000000" w:themeColor="text1"/>
          <w:sz w:val="24"/>
          <w14:textFill>
            <w14:solidFill>
              <w14:schemeClr w14:val="tx1"/>
            </w14:solidFill>
          </w14:textFill>
        </w:rPr>
        <w:t>年，因人为因素出现的故障不在免费保修范围内。超过保修期的机器货物，终生维修，维修时只收部件成本费。</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十三、调试和验收</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乙方交货前应对产品作出全面检查和对验收文件进行整理，并列出清单，作为甲方收货验收和使用的技术条件依据，检验的结果应随货物交甲方。</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甲方对乙方提供的货物在使用前进行调试时，乙方需负责安装并培训甲方的使用操作人员，并协助甲方一起调试，直到符合技术要求，甲方才做最终验收。</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对技术复杂的货物，甲方应请国家认可的专业检测机构参与初步验收及最终验收，并由其出具质量检测报告。</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 验收时乙方必须在现场，验收完毕后作出验收结果报告；验收费用由乙方负责。</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十四、货物包装、发运及运输</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乙方应在货物发运前对其进行满足运输距离、防潮、防震、防锈和防破损装卸等</w:t>
      </w:r>
      <w:r>
        <w:rPr>
          <w:rFonts w:hint="eastAsia" w:ascii="宋体" w:hAnsi="宋体" w:cs="宋体"/>
          <w:color w:val="000000" w:themeColor="text1"/>
          <w:sz w:val="24"/>
          <w14:textFill>
            <w14:solidFill>
              <w14:schemeClr w14:val="tx1"/>
            </w14:solidFill>
          </w14:textFill>
        </w:rPr>
        <w:t>要</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求包装，以保证货物安全运达甲方指定地点。</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使用说明书、质量检验证明书、随配附件和工具以及清单一并附于货物内。</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乙方在货物发运手续办理完毕后24小时内或货到甲方48小时前通知甲方，以准备</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接货。</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货物在交付甲方前发生的风险均由乙方负责。</w:t>
      </w:r>
    </w:p>
    <w:p>
      <w:pPr>
        <w:snapToGrid w:val="0"/>
        <w:spacing w:before="156" w:after="156" w:line="360" w:lineRule="auto"/>
        <w:ind w:left="480" w:right="26"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 货物在规定的交付期限内由乙方送达甲方指定的地点视为交付，乙方同时需通知甲</w:t>
      </w:r>
    </w:p>
    <w:p>
      <w:pPr>
        <w:snapToGrid w:val="0"/>
        <w:spacing w:before="156" w:after="156" w:line="360" w:lineRule="auto"/>
        <w:ind w:left="480" w:right="26"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方货物已送达。</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十五、违约责任</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甲方无正当理由拒收货物的，甲方向乙方偿付拒收货款总值的百分之五违约金。</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甲方无故逾期验收和办理货款支付手续的,甲方应按逾期付款总额每日万分之五向</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乙方支付违约金。</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乙方逾期交付货物的，乙方应按逾期交货总额每日千分之六向甲方支付违约金，由</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甲方从待付货款中扣除。逾期超过约定日期10个工作日不能交货的，甲方可解除本合</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同。乙方因逾期交货或因其他违约行为导致甲方解除合同的，乙方应向甲方支付合同</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总值5%的违约金，如造成甲方损失超过违约金的，超出部分由乙方继续承担赔偿</w:t>
      </w:r>
      <w:r>
        <w:rPr>
          <w:rFonts w:hint="eastAsia" w:ascii="宋体" w:hAnsi="宋体" w:cs="宋体"/>
          <w:color w:val="000000" w:themeColor="text1"/>
          <w:sz w:val="24"/>
          <w14:textFill>
            <w14:solidFill>
              <w14:schemeClr w14:val="tx1"/>
            </w14:solidFill>
          </w14:textFill>
        </w:rPr>
        <w:t>责</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任。 </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乙方所交的货物品种、型号、规格、技术参数、质量不符合合同规定及招标文件规</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定标准的，甲方有权拒收该货物，乙方愿意更换货物但逾期交货的，按乙方逾期交货</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处理。乙方拒绝更换货物的，甲方可单方面解除合同。</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十六、不可抗力事件处理</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.在合同有效期内，任何一方因不可抗力事件导致不能履行合同，则合同履行期可延长，其延长期与不可抗力影响期相同。</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不可抗力事件发生后，应立即通知对方，并寄送有关权威机构出具的证明。</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不可抗力事件延续120天以上，双方应通过友好协商，确定是否继续履行合同。</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十七、诉讼</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双方在执行合同中所发生的一切争议，应通过协商解决。如协商不成，可向甲方所</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在地、法院起诉。</w:t>
      </w:r>
    </w:p>
    <w:p>
      <w:pPr>
        <w:snapToGrid w:val="0"/>
        <w:spacing w:before="120" w:after="120"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十八、合同生效及其它</w:t>
      </w:r>
    </w:p>
    <w:p>
      <w:pPr>
        <w:snapToGrid w:val="0"/>
        <w:spacing w:before="120" w:after="120"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合同经三方法定代表人或授权代表签字并加盖单位公章后生效。</w:t>
      </w:r>
    </w:p>
    <w:p>
      <w:pPr>
        <w:snapToGrid w:val="0"/>
        <w:spacing w:before="120" w:after="120"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2.合同执行中涉及采购资金和采购内容修改或补充的，签书面补充协议，作为主合同不可分割的一部分。</w:t>
      </w:r>
    </w:p>
    <w:p>
      <w:pPr>
        <w:snapToGrid w:val="0"/>
        <w:spacing w:before="120" w:after="120"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3.本合同未尽事宜，遵照《中华人民共和国民法典》有关条文执行。</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4.本合同一式</w:t>
      </w:r>
      <w:r>
        <w:rPr>
          <w:rFonts w:hint="eastAsia" w:ascii="宋体" w:hAnsi="宋体" w:cs="宋体"/>
          <w:color w:val="000000" w:themeColor="text1"/>
          <w:sz w:val="24"/>
          <w14:textFill>
            <w14:solidFill>
              <w14:schemeClr w14:val="tx1"/>
            </w14:solidFill>
          </w14:textFill>
        </w:rPr>
        <w:t>四</w:t>
      </w:r>
      <w:r>
        <w:rPr>
          <w:rFonts w:ascii="宋体" w:hAnsi="宋体" w:cs="宋体"/>
          <w:color w:val="000000" w:themeColor="text1"/>
          <w:sz w:val="24"/>
          <w14:textFill>
            <w14:solidFill>
              <w14:schemeClr w14:val="tx1"/>
            </w14:solidFill>
          </w14:textFill>
        </w:rPr>
        <w:t>份，招</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甲、乙双方各执二份，其都具有同等法律效力。</w:t>
      </w:r>
    </w:p>
    <w:p>
      <w:pPr>
        <w:snapToGrid w:val="0"/>
        <w:spacing w:before="120" w:after="120" w:line="360" w:lineRule="auto"/>
        <w:ind w:left="480" w:hanging="480"/>
        <w:rPr>
          <w:rFonts w:ascii="宋体" w:hAnsi="宋体" w:cs="宋体"/>
          <w:color w:val="000000" w:themeColor="text1"/>
          <w:sz w:val="24"/>
          <w14:textFill>
            <w14:solidFill>
              <w14:schemeClr w14:val="tx1"/>
            </w14:solidFill>
          </w14:textFill>
        </w:rPr>
      </w:pPr>
    </w:p>
    <w:p>
      <w:pPr>
        <w:spacing w:before="120" w:after="120" w:line="360" w:lineRule="auto"/>
        <w:rPr>
          <w:rFonts w:ascii="宋体" w:hAnsi="宋体" w:cs="宋体"/>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甲方（盖公章）：                       乙方（盖公章）：</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法定代表人或受委托人                 法定代表人或受委托人</w:t>
      </w:r>
    </w:p>
    <w:p>
      <w:pPr>
        <w:snapToGrid w:val="0"/>
        <w:spacing w:before="120" w:after="120" w:line="360" w:lineRule="auto"/>
        <w:ind w:left="1" w:hanging="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（签字）                             （签字）</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地址：                               地址： </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邮编：                               邮编：</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电话：                               电话：</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传真：                               传真：</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开户银行：                           开户银行：</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帐号：                               帐号：</w:t>
      </w: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napToGrid w:val="0"/>
        <w:spacing w:before="120" w:after="120" w:line="360" w:lineRule="auto"/>
        <w:jc w:val="center"/>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注：签订合同时，可以使用项目相关国家标准合同文本。</w:t>
      </w:r>
      <w:r>
        <w:rPr>
          <w:color w:val="000000" w:themeColor="text1"/>
          <w14:textFill>
            <w14:solidFill>
              <w14:schemeClr w14:val="tx1"/>
            </w14:solidFill>
          </w14:textFill>
        </w:rPr>
        <w:br w:type="page"/>
      </w:r>
    </w:p>
    <w:p>
      <w:pPr>
        <w:pStyle w:val="4"/>
        <w:keepNext w:val="0"/>
        <w:keepLines w:val="0"/>
        <w:pageBreakBefore/>
        <w:jc w:val="center"/>
        <w:rPr>
          <w:rFonts w:ascii="宋体" w:hAnsi="宋体" w:cs="宋体"/>
          <w:sz w:val="32"/>
          <w:szCs w:val="32"/>
        </w:rPr>
      </w:pPr>
      <w:bookmarkStart w:id="10" w:name="_Toc8916"/>
      <w:bookmarkStart w:id="11" w:name="_Toc28572"/>
      <w:r>
        <w:rPr>
          <w:rFonts w:hint="eastAsia" w:ascii="宋体" w:hAnsi="宋体" w:cs="宋体"/>
          <w:sz w:val="32"/>
          <w:szCs w:val="32"/>
        </w:rPr>
        <w:t>第七章  谈判响应文件附件格式</w:t>
      </w:r>
      <w:bookmarkEnd w:id="10"/>
    </w:p>
    <w:p>
      <w:pPr>
        <w:keepNext/>
        <w:keepLines/>
        <w:spacing w:before="260" w:after="260" w:line="416" w:lineRule="auto"/>
        <w:outlineLvl w:val="1"/>
        <w:rPr>
          <w:rFonts w:ascii="宋体" w:hAnsi="宋体" w:cs="宋体"/>
          <w:bCs/>
          <w:sz w:val="24"/>
          <w:szCs w:val="32"/>
        </w:rPr>
      </w:pPr>
      <w:bookmarkStart w:id="12" w:name="_Toc28609"/>
      <w:bookmarkStart w:id="13" w:name="_Toc3306"/>
      <w:r>
        <w:rPr>
          <w:rFonts w:hint="eastAsia" w:ascii="宋体" w:hAnsi="宋体" w:cs="宋体"/>
          <w:bCs/>
          <w:sz w:val="24"/>
          <w:szCs w:val="32"/>
        </w:rPr>
        <w:t>附件一：</w:t>
      </w:r>
      <w:bookmarkEnd w:id="12"/>
      <w:r>
        <w:rPr>
          <w:rFonts w:hint="eastAsia" w:ascii="宋体" w:hAnsi="宋体" w:cs="宋体"/>
          <w:bCs/>
          <w:sz w:val="24"/>
          <w:szCs w:val="32"/>
        </w:rPr>
        <w:t>投 标 书</w:t>
      </w:r>
      <w:bookmarkEnd w:id="13"/>
    </w:p>
    <w:p>
      <w:pPr>
        <w:jc w:val="center"/>
        <w:rPr>
          <w:rFonts w:ascii="宋体" w:hAnsi="宋体" w:cs="宋体"/>
          <w:b/>
          <w:bCs/>
          <w:sz w:val="36"/>
          <w:szCs w:val="36"/>
        </w:rPr>
      </w:pPr>
      <w:r>
        <w:rPr>
          <w:rFonts w:hint="eastAsia" w:ascii="宋体" w:hAnsi="宋体" w:cs="宋体"/>
          <w:b/>
          <w:bCs/>
          <w:sz w:val="36"/>
          <w:szCs w:val="36"/>
        </w:rPr>
        <w:t>投 标 书</w:t>
      </w:r>
    </w:p>
    <w:p>
      <w:pPr>
        <w:widowControl/>
        <w:overflowPunct w:val="0"/>
        <w:autoSpaceDE w:val="0"/>
        <w:autoSpaceDN w:val="0"/>
        <w:adjustRightInd w:val="0"/>
        <w:spacing w:line="360" w:lineRule="auto"/>
        <w:jc w:val="left"/>
        <w:textAlignment w:val="baseline"/>
        <w:rPr>
          <w:rFonts w:ascii="宋体" w:hAnsi="宋体" w:cs="宋体"/>
          <w:kern w:val="0"/>
          <w:sz w:val="24"/>
        </w:rPr>
      </w:pPr>
    </w:p>
    <w:p>
      <w:pPr>
        <w:widowControl/>
        <w:overflowPunct w:val="0"/>
        <w:autoSpaceDE w:val="0"/>
        <w:autoSpaceDN w:val="0"/>
        <w:adjustRightInd w:val="0"/>
        <w:spacing w:line="360" w:lineRule="auto"/>
        <w:jc w:val="left"/>
        <w:textAlignment w:val="baseline"/>
        <w:rPr>
          <w:rFonts w:ascii="宋体" w:hAnsi="宋体" w:cs="宋体"/>
          <w:kern w:val="0"/>
          <w:sz w:val="24"/>
        </w:rPr>
      </w:pPr>
      <w:r>
        <w:rPr>
          <w:rFonts w:hint="eastAsia" w:ascii="宋体" w:hAnsi="宋体" w:cs="宋体"/>
          <w:kern w:val="0"/>
          <w:sz w:val="24"/>
        </w:rPr>
        <w:t>致：浙江广厦建设职业技术大学</w:t>
      </w:r>
    </w:p>
    <w:p>
      <w:pPr>
        <w:widowControl/>
        <w:wordWrap w:val="0"/>
        <w:overflowPunct w:val="0"/>
        <w:autoSpaceDE w:val="0"/>
        <w:autoSpaceDN w:val="0"/>
        <w:adjustRightInd w:val="0"/>
        <w:spacing w:line="360" w:lineRule="auto"/>
        <w:ind w:firstLine="540" w:firstLineChars="225"/>
        <w:jc w:val="left"/>
        <w:textAlignment w:val="baseline"/>
        <w:rPr>
          <w:rFonts w:ascii="宋体" w:hAnsi="宋体" w:cs="宋体"/>
          <w:kern w:val="0"/>
          <w:sz w:val="24"/>
        </w:rPr>
      </w:pPr>
      <w:r>
        <w:rPr>
          <w:rFonts w:hint="eastAsia" w:ascii="宋体" w:hAnsi="宋体" w:cs="宋体"/>
          <w:kern w:val="0"/>
          <w:sz w:val="24"/>
        </w:rPr>
        <w:t>根据贵方为</w:t>
      </w:r>
      <w:r>
        <w:rPr>
          <w:rFonts w:hint="eastAsia" w:ascii="宋体" w:hAnsi="宋体" w:cs="宋体"/>
          <w:kern w:val="0"/>
          <w:sz w:val="24"/>
          <w:u w:val="single"/>
        </w:rPr>
        <w:t xml:space="preserve">                </w:t>
      </w:r>
      <w:r>
        <w:rPr>
          <w:rFonts w:hint="eastAsia" w:ascii="宋体" w:hAnsi="宋体" w:cs="宋体"/>
          <w:kern w:val="0"/>
          <w:sz w:val="24"/>
        </w:rPr>
        <w:t>项目的投标邀请</w:t>
      </w:r>
      <w:r>
        <w:rPr>
          <w:rFonts w:hint="eastAsia" w:ascii="宋体" w:hAnsi="宋体" w:cs="宋体"/>
          <w:kern w:val="0"/>
          <w:sz w:val="24"/>
          <w:u w:val="single"/>
        </w:rPr>
        <w:t xml:space="preserve">             </w:t>
      </w:r>
      <w:r>
        <w:rPr>
          <w:rFonts w:hint="eastAsia" w:ascii="宋体" w:hAnsi="宋体" w:cs="宋体"/>
          <w:kern w:val="0"/>
          <w:sz w:val="24"/>
        </w:rPr>
        <w:t>(采购编号)，签字代表_____________________(全名、职务) 经正式授权并代表</w:t>
      </w:r>
      <w:r>
        <w:rPr>
          <w:rFonts w:hint="eastAsia" w:ascii="宋体" w:hAnsi="宋体" w:cs="宋体"/>
          <w:sz w:val="24"/>
        </w:rPr>
        <w:t>谈判响应方</w:t>
      </w:r>
      <w:r>
        <w:rPr>
          <w:rFonts w:hint="eastAsia" w:ascii="宋体" w:hAnsi="宋体" w:cs="宋体"/>
          <w:kern w:val="0"/>
          <w:sz w:val="24"/>
        </w:rPr>
        <w:t>______________________________ (</w:t>
      </w:r>
      <w:r>
        <w:rPr>
          <w:rFonts w:hint="eastAsia" w:ascii="宋体" w:hAnsi="宋体" w:cs="宋体"/>
          <w:sz w:val="24"/>
        </w:rPr>
        <w:t>谈判响应方</w:t>
      </w:r>
      <w:r>
        <w:rPr>
          <w:rFonts w:hint="eastAsia" w:ascii="宋体" w:hAnsi="宋体" w:cs="宋体"/>
          <w:kern w:val="0"/>
          <w:sz w:val="24"/>
        </w:rPr>
        <w:t>名称、地址)。</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据此函，签字代表宣布同意如下：</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1．所附谈判报价表中规定的应提供和支付的服务投标总价（第一次报价</w:t>
      </w:r>
      <w:r>
        <w:rPr>
          <w:rFonts w:hint="eastAsia" w:ascii="宋体" w:hAnsi="宋体" w:cs="宋体"/>
          <w:b/>
          <w:kern w:val="0"/>
          <w:sz w:val="24"/>
        </w:rPr>
        <w:t>）</w:t>
      </w:r>
      <w:r>
        <w:rPr>
          <w:rFonts w:hint="eastAsia" w:ascii="宋体" w:hAnsi="宋体" w:cs="宋体"/>
          <w:kern w:val="0"/>
          <w:sz w:val="24"/>
        </w:rPr>
        <w:t>为(注明币种)</w:t>
      </w:r>
      <w:r>
        <w:rPr>
          <w:rFonts w:hint="eastAsia" w:ascii="宋体" w:hAnsi="宋体" w:cs="宋体"/>
          <w:kern w:val="0"/>
          <w:sz w:val="24"/>
          <w:u w:val="single"/>
        </w:rPr>
        <w:t xml:space="preserve">          </w:t>
      </w:r>
      <w:r>
        <w:rPr>
          <w:rFonts w:hint="eastAsia" w:ascii="宋体" w:hAnsi="宋体" w:cs="宋体"/>
          <w:kern w:val="0"/>
          <w:sz w:val="24"/>
        </w:rPr>
        <w:t>，即(大写)</w:t>
      </w:r>
      <w:r>
        <w:rPr>
          <w:rFonts w:hint="eastAsia" w:ascii="宋体" w:hAnsi="宋体" w:cs="宋体"/>
          <w:kern w:val="0"/>
          <w:sz w:val="24"/>
          <w:u w:val="single"/>
        </w:rPr>
        <w:t xml:space="preserve">                    　　　　   </w:t>
      </w:r>
      <w:r>
        <w:rPr>
          <w:rFonts w:hint="eastAsia" w:ascii="宋体" w:hAnsi="宋体" w:cs="宋体"/>
          <w:kern w:val="0"/>
          <w:sz w:val="24"/>
        </w:rPr>
        <w:t>。</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2．</w:t>
      </w:r>
      <w:r>
        <w:rPr>
          <w:rFonts w:hint="eastAsia" w:ascii="宋体" w:hAnsi="宋体" w:cs="宋体"/>
          <w:sz w:val="24"/>
        </w:rPr>
        <w:t>谈判响应方</w:t>
      </w:r>
      <w:r>
        <w:rPr>
          <w:rFonts w:hint="eastAsia" w:ascii="宋体" w:hAnsi="宋体" w:cs="宋体"/>
          <w:kern w:val="0"/>
          <w:sz w:val="24"/>
        </w:rPr>
        <w:t>已详细审查全部招标文件，我们完全理解并同意放弃对这方面有不明及误解的权利。</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3．我方将按招标文件规定履行合同责任和义务。</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4．其投标自开标日起有效期</w:t>
      </w:r>
      <w:r>
        <w:rPr>
          <w:rFonts w:hint="eastAsia" w:ascii="宋体" w:hAnsi="宋体" w:cs="宋体"/>
          <w:kern w:val="0"/>
          <w:sz w:val="24"/>
          <w:u w:val="single"/>
        </w:rPr>
        <w:t xml:space="preserve"> 60 </w:t>
      </w:r>
      <w:r>
        <w:rPr>
          <w:rFonts w:hint="eastAsia" w:ascii="宋体" w:hAnsi="宋体" w:cs="宋体"/>
          <w:kern w:val="0"/>
          <w:sz w:val="24"/>
        </w:rPr>
        <w:t>天。</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5．如果在规定的开标时间后，我方在投标有效期内撤回投标或放弃中标的，加入政府采购黑名单。</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6．我方同意提供按照贵方可能要求的与其投标有关的一切数据或资料，理解贵方不一定要接受最低价的投标或收到的任何投标。</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7．与本投标有关的一切正式往来通讯请寄：</w:t>
      </w:r>
    </w:p>
    <w:p>
      <w:pPr>
        <w:widowControl/>
        <w:overflowPunct w:val="0"/>
        <w:autoSpaceDE w:val="0"/>
        <w:autoSpaceDN w:val="0"/>
        <w:adjustRightInd w:val="0"/>
        <w:spacing w:line="360" w:lineRule="auto"/>
        <w:jc w:val="left"/>
        <w:textAlignment w:val="baseline"/>
        <w:rPr>
          <w:rFonts w:ascii="宋体" w:hAnsi="宋体" w:cs="宋体"/>
          <w:kern w:val="0"/>
          <w:sz w:val="24"/>
        </w:rPr>
      </w:pPr>
      <w:r>
        <w:rPr>
          <w:rFonts w:hint="eastAsia" w:ascii="宋体" w:hAnsi="宋体" w:cs="宋体"/>
          <w:kern w:val="0"/>
          <w:sz w:val="24"/>
        </w:rPr>
        <w:t xml:space="preserve">    地址：______________________邮编：______________________                </w:t>
      </w:r>
    </w:p>
    <w:p>
      <w:pPr>
        <w:widowControl/>
        <w:overflowPunct w:val="0"/>
        <w:autoSpaceDE w:val="0"/>
        <w:autoSpaceDN w:val="0"/>
        <w:adjustRightInd w:val="0"/>
        <w:spacing w:line="360" w:lineRule="auto"/>
        <w:ind w:firstLine="480"/>
        <w:jc w:val="left"/>
        <w:textAlignment w:val="baseline"/>
        <w:rPr>
          <w:rFonts w:ascii="宋体" w:hAnsi="宋体" w:cs="宋体"/>
          <w:kern w:val="0"/>
          <w:sz w:val="24"/>
        </w:rPr>
      </w:pPr>
      <w:r>
        <w:rPr>
          <w:rFonts w:hint="eastAsia" w:ascii="宋体" w:hAnsi="宋体" w:cs="宋体"/>
          <w:kern w:val="0"/>
          <w:sz w:val="24"/>
        </w:rPr>
        <w:t xml:space="preserve">电话：______________________传真：______________________     </w:t>
      </w:r>
    </w:p>
    <w:p>
      <w:pPr>
        <w:widowControl/>
        <w:overflowPunct w:val="0"/>
        <w:autoSpaceDE w:val="0"/>
        <w:autoSpaceDN w:val="0"/>
        <w:adjustRightInd w:val="0"/>
        <w:spacing w:line="360" w:lineRule="auto"/>
        <w:ind w:firstLine="480"/>
        <w:jc w:val="left"/>
        <w:textAlignment w:val="baseline"/>
        <w:rPr>
          <w:rFonts w:ascii="宋体" w:hAnsi="宋体" w:cs="宋体"/>
          <w:kern w:val="0"/>
          <w:sz w:val="24"/>
        </w:rPr>
      </w:pPr>
      <w:r>
        <w:rPr>
          <w:rFonts w:hint="eastAsia" w:ascii="宋体" w:hAnsi="宋体" w:cs="宋体"/>
          <w:kern w:val="0"/>
          <w:sz w:val="24"/>
        </w:rPr>
        <w:t xml:space="preserve">           </w:t>
      </w:r>
    </w:p>
    <w:p>
      <w:pPr>
        <w:widowControl/>
        <w:overflowPunct w:val="0"/>
        <w:autoSpaceDE w:val="0"/>
        <w:autoSpaceDN w:val="0"/>
        <w:adjustRightInd w:val="0"/>
        <w:spacing w:line="360" w:lineRule="auto"/>
        <w:jc w:val="left"/>
        <w:textAlignment w:val="baseline"/>
        <w:rPr>
          <w:rFonts w:ascii="宋体" w:hAnsi="宋体" w:cs="宋体"/>
          <w:kern w:val="0"/>
          <w:sz w:val="24"/>
        </w:rPr>
      </w:pPr>
      <w:r>
        <w:rPr>
          <w:rFonts w:hint="eastAsia" w:ascii="宋体" w:hAnsi="宋体" w:cs="宋体"/>
          <w:kern w:val="0"/>
          <w:sz w:val="24"/>
        </w:rPr>
        <w:t xml:space="preserve">    </w:t>
      </w:r>
      <w:r>
        <w:rPr>
          <w:rFonts w:hint="eastAsia" w:ascii="宋体" w:hAnsi="宋体" w:cs="宋体"/>
          <w:sz w:val="24"/>
        </w:rPr>
        <w:t>谈判响应方</w:t>
      </w:r>
      <w:r>
        <w:rPr>
          <w:rFonts w:hint="eastAsia" w:ascii="宋体" w:hAnsi="宋体" w:cs="宋体"/>
          <w:kern w:val="0"/>
          <w:sz w:val="24"/>
        </w:rPr>
        <w:t>名称: ___________</w:t>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t>________________ (公章)</w:t>
      </w:r>
    </w:p>
    <w:p>
      <w:pPr>
        <w:widowControl/>
        <w:overflowPunct w:val="0"/>
        <w:autoSpaceDE w:val="0"/>
        <w:autoSpaceDN w:val="0"/>
        <w:adjustRightInd w:val="0"/>
        <w:spacing w:line="360" w:lineRule="auto"/>
        <w:jc w:val="left"/>
        <w:textAlignment w:val="baseline"/>
        <w:rPr>
          <w:rFonts w:ascii="宋体" w:hAnsi="宋体" w:cs="宋体"/>
          <w:kern w:val="0"/>
          <w:sz w:val="24"/>
        </w:rPr>
      </w:pPr>
      <w:r>
        <w:rPr>
          <w:rFonts w:hint="eastAsia" w:ascii="宋体" w:hAnsi="宋体" w:cs="宋体"/>
          <w:kern w:val="0"/>
          <w:sz w:val="24"/>
        </w:rPr>
        <w:t xml:space="preserve">    </w:t>
      </w:r>
      <w:r>
        <w:rPr>
          <w:rFonts w:hint="eastAsia" w:ascii="宋体" w:hAnsi="宋体" w:cs="宋体"/>
          <w:sz w:val="24"/>
        </w:rPr>
        <w:t>谈判响应方</w:t>
      </w:r>
      <w:r>
        <w:rPr>
          <w:rFonts w:hint="eastAsia" w:ascii="宋体" w:hAnsi="宋体" w:cs="宋体"/>
          <w:kern w:val="0"/>
          <w:sz w:val="24"/>
        </w:rPr>
        <w:t>代表姓名、职务: ______________________</w:t>
      </w:r>
    </w:p>
    <w:p>
      <w:pPr>
        <w:spacing w:line="360" w:lineRule="auto"/>
        <w:ind w:firstLine="475" w:firstLineChars="198"/>
        <w:rPr>
          <w:rFonts w:ascii="宋体" w:hAnsi="宋体" w:cs="宋体"/>
          <w:sz w:val="24"/>
        </w:rPr>
      </w:pPr>
      <w:r>
        <w:rPr>
          <w:rFonts w:hint="eastAsia" w:ascii="宋体" w:hAnsi="宋体" w:cs="宋体"/>
          <w:sz w:val="24"/>
        </w:rPr>
        <w:t>谈判响应日期: _______年____月____日  委托代理人签字: ________</w:t>
      </w:r>
      <w:r>
        <w:rPr>
          <w:rFonts w:hint="eastAsia" w:ascii="宋体" w:hAnsi="宋体" w:cs="宋体"/>
          <w:sz w:val="24"/>
        </w:rPr>
        <w:softHyphen/>
      </w:r>
      <w:r>
        <w:rPr>
          <w:rFonts w:hint="eastAsia" w:ascii="宋体" w:hAnsi="宋体" w:cs="宋体"/>
          <w:sz w:val="24"/>
        </w:rPr>
        <w:t>__</w:t>
      </w:r>
    </w:p>
    <w:p>
      <w:pPr>
        <w:spacing w:line="360" w:lineRule="auto"/>
        <w:rPr>
          <w:rFonts w:ascii="宋体" w:hAnsi="宋体" w:cs="宋体"/>
          <w:b/>
          <w:bCs/>
          <w:sz w:val="24"/>
        </w:rPr>
      </w:pPr>
    </w:p>
    <w:p>
      <w:pPr>
        <w:jc w:val="center"/>
        <w:rPr>
          <w:rFonts w:ascii="宋体" w:hAnsi="宋体" w:cs="宋体"/>
          <w:b/>
          <w:bCs/>
          <w:sz w:val="24"/>
        </w:rPr>
      </w:pPr>
    </w:p>
    <w:p>
      <w:pPr>
        <w:keepNext/>
        <w:keepLines/>
        <w:pageBreakBefore/>
        <w:spacing w:before="260" w:after="260" w:line="416" w:lineRule="auto"/>
        <w:outlineLvl w:val="1"/>
        <w:rPr>
          <w:rFonts w:ascii="宋体" w:hAnsi="宋体" w:cs="宋体"/>
          <w:sz w:val="24"/>
          <w:szCs w:val="32"/>
        </w:rPr>
      </w:pPr>
      <w:bookmarkStart w:id="14" w:name="_Toc24222"/>
      <w:r>
        <w:rPr>
          <w:rFonts w:hint="eastAsia" w:ascii="宋体" w:hAnsi="宋体" w:cs="宋体"/>
          <w:bCs/>
          <w:sz w:val="24"/>
          <w:szCs w:val="32"/>
        </w:rPr>
        <w:t>附件</w:t>
      </w:r>
      <w:r>
        <w:rPr>
          <w:rFonts w:hint="eastAsia" w:ascii="宋体" w:hAnsi="宋体" w:cs="宋体"/>
          <w:kern w:val="0"/>
          <w:sz w:val="24"/>
        </w:rPr>
        <w:t>二</w:t>
      </w:r>
      <w:r>
        <w:rPr>
          <w:rFonts w:hint="eastAsia" w:ascii="宋体" w:hAnsi="宋体" w:cs="宋体"/>
          <w:bCs/>
          <w:sz w:val="24"/>
          <w:szCs w:val="32"/>
        </w:rPr>
        <w:t>：初次报价表</w:t>
      </w:r>
      <w:bookmarkEnd w:id="14"/>
    </w:p>
    <w:p>
      <w:pPr>
        <w:snapToGrid w:val="0"/>
        <w:spacing w:before="50" w:after="50" w:line="360" w:lineRule="auto"/>
        <w:jc w:val="center"/>
        <w:rPr>
          <w:rFonts w:ascii="宋体" w:hAnsi="宋体" w:cs="宋体"/>
          <w:b/>
          <w:sz w:val="32"/>
          <w:szCs w:val="32"/>
        </w:rPr>
      </w:pPr>
      <w:r>
        <w:rPr>
          <w:rFonts w:hint="eastAsia" w:ascii="宋体" w:hAnsi="宋体" w:cs="宋体"/>
          <w:b/>
          <w:sz w:val="32"/>
          <w:szCs w:val="32"/>
        </w:rPr>
        <w:t>初次报价表</w:t>
      </w:r>
    </w:p>
    <w:p>
      <w:pPr>
        <w:snapToGrid w:val="0"/>
        <w:spacing w:before="50" w:after="50"/>
        <w:rPr>
          <w:rFonts w:ascii="宋体" w:hAnsi="宋体" w:cs="宋体"/>
          <w:sz w:val="24"/>
        </w:rPr>
      </w:pPr>
      <w:r>
        <w:rPr>
          <w:rFonts w:hint="eastAsia" w:ascii="宋体" w:hAnsi="宋体" w:cs="宋体"/>
          <w:sz w:val="24"/>
        </w:rPr>
        <w:t>谈判编号：</w:t>
      </w:r>
      <w:r>
        <w:rPr>
          <w:rFonts w:hint="eastAsia" w:ascii="宋体" w:hAnsi="宋体" w:cs="宋体"/>
          <w:sz w:val="24"/>
          <w:u w:val="single"/>
        </w:rPr>
        <w:t xml:space="preserve">               </w:t>
      </w:r>
      <w:r>
        <w:rPr>
          <w:rFonts w:hint="eastAsia" w:ascii="宋体" w:hAnsi="宋体" w:cs="宋体"/>
          <w:sz w:val="24"/>
        </w:rPr>
        <w:t>谈判响应方名称：</w:t>
      </w:r>
      <w:r>
        <w:rPr>
          <w:rFonts w:hint="eastAsia" w:ascii="宋体" w:hAnsi="宋体" w:cs="宋体"/>
          <w:sz w:val="24"/>
          <w:u w:val="single"/>
        </w:rPr>
        <w:t xml:space="preserve">                   </w:t>
      </w:r>
      <w:r>
        <w:rPr>
          <w:rFonts w:hint="eastAsia" w:ascii="宋体" w:hAnsi="宋体" w:cs="宋体"/>
          <w:sz w:val="24"/>
        </w:rPr>
        <w:t xml:space="preserve">  单位：万元</w:t>
      </w:r>
    </w:p>
    <w:p>
      <w:pPr>
        <w:pStyle w:val="19"/>
        <w:ind w:firstLine="0" w:firstLineChars="0"/>
      </w:pPr>
    </w:p>
    <w:p>
      <w:pPr>
        <w:pStyle w:val="44"/>
        <w:snapToGrid w:val="0"/>
        <w:spacing w:line="240" w:lineRule="auto"/>
        <w:jc w:val="center"/>
        <w:outlineLvl w:val="0"/>
        <w:rPr>
          <w:rFonts w:ascii="黑体" w:hAnsi="黑体" w:eastAsia="黑体"/>
          <w:color w:val="000000" w:themeColor="text1"/>
          <w:sz w:val="30"/>
          <w:szCs w:val="30"/>
          <w14:textFill>
            <w14:solidFill>
              <w14:schemeClr w14:val="tx1"/>
            </w14:solidFill>
          </w14:textFill>
        </w:rPr>
      </w:pPr>
    </w:p>
    <w:bookmarkEnd w:id="11"/>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8"/>
        <w:gridCol w:w="44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46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项目名称</w:t>
            </w:r>
          </w:p>
        </w:tc>
        <w:tc>
          <w:tcPr>
            <w:tcW w:w="44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sz w:val="24"/>
              </w:rPr>
              <w:t>谈判报</w:t>
            </w:r>
            <w:r>
              <w:rPr>
                <w:rFonts w:hint="eastAsia" w:ascii="宋体" w:hAnsi="宋体"/>
                <w:b/>
                <w:color w:val="000000"/>
                <w:sz w:val="24"/>
              </w:rPr>
              <w:t>价</w:t>
            </w:r>
          </w:p>
          <w:p>
            <w:pPr>
              <w:snapToGrid w:val="0"/>
              <w:spacing w:before="50" w:after="50"/>
              <w:jc w:val="center"/>
              <w:rPr>
                <w:rFonts w:ascii="宋体" w:hAnsi="宋体"/>
                <w:b/>
                <w:color w:val="000000"/>
                <w:sz w:val="24"/>
              </w:rPr>
            </w:pPr>
            <w:r>
              <w:rPr>
                <w:rFonts w:hint="eastAsia" w:ascii="宋体" w:hAnsi="宋体"/>
                <w:b/>
                <w:color w:val="000000"/>
                <w:sz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46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cs="宋体"/>
                <w:b/>
                <w:bCs/>
                <w:color w:val="000000" w:themeColor="text1"/>
                <w:sz w:val="30"/>
                <w:szCs w:val="30"/>
                <w14:textFill>
                  <w14:solidFill>
                    <w14:schemeClr w14:val="tx1"/>
                  </w14:solidFill>
                </w14:textFill>
              </w:rPr>
              <w:t>移动式垃圾压缩机</w:t>
            </w:r>
          </w:p>
        </w:tc>
        <w:tc>
          <w:tcPr>
            <w:tcW w:w="44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p>
        </w:tc>
      </w:tr>
    </w:tbl>
    <w:p>
      <w:pPr>
        <w:snapToGrid w:val="0"/>
        <w:spacing w:before="50" w:after="50"/>
        <w:rPr>
          <w:rFonts w:ascii="宋体" w:hAnsi="宋体"/>
          <w:color w:val="000000"/>
          <w:sz w:val="24"/>
          <w:szCs w:val="20"/>
        </w:rPr>
      </w:pPr>
    </w:p>
    <w:p>
      <w:pPr>
        <w:snapToGrid w:val="0"/>
        <w:spacing w:before="50" w:after="50" w:line="360" w:lineRule="auto"/>
        <w:jc w:val="left"/>
        <w:rPr>
          <w:rFonts w:ascii="宋体" w:hAnsi="宋体" w:cs="宋体"/>
          <w:sz w:val="24"/>
        </w:rPr>
      </w:pPr>
      <w:r>
        <w:rPr>
          <w:rFonts w:hint="eastAsia" w:ascii="宋体" w:hAnsi="宋体" w:cs="宋体"/>
          <w:sz w:val="24"/>
        </w:rPr>
        <w:t xml:space="preserve">注: </w:t>
      </w:r>
    </w:p>
    <w:p>
      <w:pPr>
        <w:snapToGrid w:val="0"/>
        <w:spacing w:before="50" w:after="50" w:line="360" w:lineRule="auto"/>
        <w:ind w:firstLine="480" w:firstLineChars="200"/>
        <w:jc w:val="left"/>
        <w:rPr>
          <w:rFonts w:ascii="宋体" w:hAnsi="宋体" w:cs="宋体"/>
          <w:sz w:val="24"/>
          <w:szCs w:val="20"/>
        </w:rPr>
      </w:pPr>
      <w:r>
        <w:rPr>
          <w:rFonts w:hint="eastAsia" w:ascii="宋体" w:hAnsi="宋体" w:cs="宋体"/>
          <w:sz w:val="24"/>
        </w:rPr>
        <w:t>1、报价一经涂改，应在涂改处加盖单位公章或者由法定代表人或授权委托人签字或盖章，否则其谈判作无效谈判处理。</w:t>
      </w:r>
    </w:p>
    <w:p>
      <w:pPr>
        <w:spacing w:line="360" w:lineRule="auto"/>
        <w:ind w:firstLine="480" w:firstLineChars="200"/>
        <w:rPr>
          <w:rFonts w:ascii="宋体" w:hAnsi="宋体" w:cs="宋体"/>
          <w:sz w:val="24"/>
        </w:rPr>
      </w:pPr>
      <w:r>
        <w:rPr>
          <w:rFonts w:hint="eastAsia" w:ascii="宋体" w:hAnsi="宋体" w:cs="宋体"/>
          <w:sz w:val="24"/>
        </w:rPr>
        <w:t>2、谈判报价是履行合同的最终价格，应包含完成本项目合同内容所涉及的全部费用，包含但不仅限于所需软件的设计、开发、优化、安装、平台对接、上线调试、试运行管理、技术培训、验收配合、第三方检测（如需）、售后服务以及完成采购需求所涉及的其他一切内容所需的全部费用，以及税金、人工费、管理费、合理利润、风险费、投标费用、招标代理费等一切成本及费用。</w:t>
      </w:r>
    </w:p>
    <w:p>
      <w:pPr>
        <w:snapToGrid w:val="0"/>
        <w:spacing w:before="50" w:after="50" w:line="360" w:lineRule="auto"/>
        <w:ind w:right="-817" w:rightChars="-389" w:firstLine="480" w:firstLineChars="200"/>
        <w:rPr>
          <w:rFonts w:ascii="宋体" w:hAnsi="宋体" w:cs="宋体"/>
          <w:sz w:val="24"/>
        </w:rPr>
      </w:pPr>
      <w:r>
        <w:rPr>
          <w:rFonts w:ascii="宋体" w:hAnsi="宋体" w:cs="宋体"/>
          <w:sz w:val="24"/>
        </w:rPr>
        <w:t>3</w:t>
      </w:r>
      <w:r>
        <w:rPr>
          <w:rFonts w:hint="eastAsia" w:ascii="宋体" w:hAnsi="宋体" w:cs="宋体"/>
          <w:sz w:val="24"/>
        </w:rPr>
        <w:t>、本表格式不允许修改，否则作无效谈判处理。</w:t>
      </w:r>
    </w:p>
    <w:p>
      <w:pPr>
        <w:snapToGrid w:val="0"/>
        <w:spacing w:before="50" w:after="50" w:line="360" w:lineRule="auto"/>
        <w:ind w:left="-3" w:leftChars="-72" w:right="-817" w:rightChars="-389" w:hanging="148" w:hangingChars="62"/>
        <w:rPr>
          <w:rFonts w:ascii="宋体" w:hAnsi="宋体" w:cs="宋体"/>
          <w:sz w:val="24"/>
        </w:rPr>
      </w:pPr>
      <w:r>
        <w:rPr>
          <w:rFonts w:hint="eastAsia" w:ascii="宋体" w:hAnsi="宋体" w:cs="宋体"/>
          <w:sz w:val="24"/>
        </w:rPr>
        <w:t xml:space="preserve"> </w:t>
      </w:r>
    </w:p>
    <w:p>
      <w:pPr>
        <w:snapToGrid w:val="0"/>
        <w:spacing w:before="50" w:after="50" w:line="360" w:lineRule="auto"/>
        <w:ind w:left="-3" w:leftChars="-15" w:right="-817" w:rightChars="-389" w:hanging="28" w:hangingChars="12"/>
        <w:rPr>
          <w:rFonts w:ascii="宋体" w:hAnsi="宋体" w:cs="宋体"/>
          <w:sz w:val="24"/>
        </w:rPr>
      </w:pPr>
      <w:r>
        <w:rPr>
          <w:rFonts w:hint="eastAsia" w:ascii="宋体" w:hAnsi="宋体" w:cs="宋体"/>
          <w:sz w:val="24"/>
        </w:rPr>
        <w:t>法定代表人或委托代理人（签字或盖章）：</w:t>
      </w:r>
    </w:p>
    <w:p>
      <w:pPr>
        <w:snapToGrid w:val="0"/>
        <w:spacing w:before="50" w:after="50" w:line="360" w:lineRule="auto"/>
        <w:ind w:left="-3" w:leftChars="-72" w:right="-817" w:rightChars="-389" w:hanging="148" w:hangingChars="62"/>
        <w:rPr>
          <w:rFonts w:ascii="宋体" w:hAnsi="宋体" w:cs="宋体"/>
          <w:sz w:val="24"/>
          <w:szCs w:val="20"/>
        </w:rPr>
      </w:pPr>
      <w:r>
        <w:rPr>
          <w:rFonts w:hint="eastAsia" w:ascii="宋体" w:hAnsi="宋体" w:cs="宋体"/>
          <w:sz w:val="24"/>
        </w:rPr>
        <w:t xml:space="preserve"> </w:t>
      </w:r>
    </w:p>
    <w:p>
      <w:pPr>
        <w:snapToGrid w:val="0"/>
        <w:spacing w:before="50" w:after="50" w:line="360" w:lineRule="auto"/>
        <w:ind w:left="-3" w:leftChars="-15" w:right="-817" w:rightChars="-389" w:hanging="28" w:hangingChars="12"/>
        <w:rPr>
          <w:rFonts w:ascii="宋体" w:hAnsi="宋体" w:cs="宋体"/>
          <w:sz w:val="24"/>
        </w:rPr>
      </w:pPr>
      <w:r>
        <w:rPr>
          <w:rFonts w:hint="eastAsia" w:ascii="宋体" w:hAnsi="宋体" w:cs="宋体"/>
          <w:sz w:val="24"/>
        </w:rPr>
        <w:t xml:space="preserve">谈判响应方名称（盖章）：  </w:t>
      </w:r>
    </w:p>
    <w:p>
      <w:pPr>
        <w:snapToGrid w:val="0"/>
        <w:spacing w:before="50" w:after="50" w:line="360" w:lineRule="auto"/>
        <w:ind w:left="-3" w:leftChars="-15" w:right="-817" w:rightChars="-389" w:hanging="28" w:hangingChars="12"/>
        <w:rPr>
          <w:rFonts w:ascii="宋体" w:hAnsi="宋体" w:cs="宋体"/>
          <w:sz w:val="24"/>
        </w:rPr>
      </w:pPr>
      <w:r>
        <w:rPr>
          <w:rFonts w:hint="eastAsia" w:ascii="宋体" w:hAnsi="宋体" w:cs="宋体"/>
          <w:sz w:val="24"/>
        </w:rPr>
        <w:t xml:space="preserve">                                        </w:t>
      </w:r>
    </w:p>
    <w:p>
      <w:pPr>
        <w:snapToGrid w:val="0"/>
        <w:spacing w:before="50" w:after="50"/>
        <w:ind w:left="-2" w:leftChars="-1" w:right="-817" w:rightChars="-389" w:firstLine="4920" w:firstLineChars="2050"/>
        <w:rPr>
          <w:rFonts w:ascii="宋体" w:hAnsi="宋体" w:cs="宋体"/>
          <w:sz w:val="24"/>
        </w:rPr>
      </w:pPr>
    </w:p>
    <w:p>
      <w:pPr>
        <w:snapToGrid w:val="0"/>
        <w:spacing w:before="50" w:after="50"/>
        <w:ind w:left="-2" w:leftChars="-1" w:right="-817" w:rightChars="-389" w:firstLine="4920" w:firstLineChars="2050"/>
        <w:rPr>
          <w:rFonts w:ascii="宋体" w:hAnsi="宋体" w:cs="宋体"/>
          <w:sz w:val="24"/>
        </w:rPr>
      </w:pPr>
      <w:r>
        <w:rPr>
          <w:rFonts w:hint="eastAsia" w:ascii="宋体" w:hAnsi="宋体" w:cs="宋体"/>
          <w:sz w:val="24"/>
        </w:rPr>
        <w:t>日期：    年   月   日</w:t>
      </w:r>
    </w:p>
    <w:p>
      <w:pPr>
        <w:pStyle w:val="3"/>
        <w:rPr>
          <w:rFonts w:ascii="宋体" w:hAnsi="宋体" w:cs="宋体"/>
          <w:sz w:val="24"/>
        </w:rPr>
      </w:pPr>
    </w:p>
    <w:p>
      <w:pPr>
        <w:pageBreakBefore/>
        <w:spacing w:before="260" w:after="260" w:line="415" w:lineRule="auto"/>
        <w:outlineLvl w:val="1"/>
        <w:rPr>
          <w:rFonts w:ascii="宋体" w:hAnsi="宋体" w:cs="宋体"/>
          <w:bCs/>
          <w:sz w:val="24"/>
          <w:szCs w:val="32"/>
        </w:rPr>
      </w:pPr>
      <w:bookmarkStart w:id="15" w:name="_Toc2511"/>
      <w:r>
        <w:rPr>
          <w:rFonts w:hint="eastAsia" w:ascii="宋体" w:hAnsi="宋体" w:cs="宋体"/>
          <w:bCs/>
          <w:sz w:val="24"/>
          <w:szCs w:val="32"/>
        </w:rPr>
        <w:t>附件三：法定代表人授权书</w:t>
      </w:r>
      <w:bookmarkEnd w:id="15"/>
    </w:p>
    <w:p>
      <w:pPr>
        <w:jc w:val="center"/>
        <w:rPr>
          <w:rFonts w:ascii="宋体" w:hAnsi="宋体" w:cs="宋体"/>
          <w:b/>
          <w:bCs/>
          <w:sz w:val="36"/>
          <w:szCs w:val="36"/>
        </w:rPr>
      </w:pPr>
      <w:r>
        <w:rPr>
          <w:rFonts w:hint="eastAsia" w:ascii="宋体" w:hAnsi="宋体" w:cs="宋体"/>
          <w:b/>
          <w:bCs/>
          <w:sz w:val="36"/>
          <w:szCs w:val="36"/>
        </w:rPr>
        <w:t>法定代表人授权书</w:t>
      </w:r>
    </w:p>
    <w:p>
      <w:pPr>
        <w:snapToGrid w:val="0"/>
        <w:spacing w:before="156" w:beforeLines="50" w:after="50"/>
        <w:rPr>
          <w:rFonts w:ascii="宋体" w:hAnsi="宋体" w:cs="宋体"/>
          <w:b/>
          <w:bCs/>
          <w:sz w:val="24"/>
          <w:szCs w:val="20"/>
        </w:rPr>
      </w:pPr>
      <w:r>
        <w:rPr>
          <w:rFonts w:hint="eastAsia" w:ascii="宋体" w:hAnsi="宋体" w:cs="宋体"/>
          <w:bCs/>
          <w:sz w:val="24"/>
        </w:rPr>
        <w:t>致：</w:t>
      </w:r>
      <w:r>
        <w:rPr>
          <w:rFonts w:hint="eastAsia" w:ascii="宋体" w:hAnsi="宋体" w:cs="宋体"/>
          <w:bCs/>
          <w:sz w:val="24"/>
          <w:u w:val="single"/>
        </w:rPr>
        <w:t xml:space="preserve">                  </w:t>
      </w:r>
      <w:r>
        <w:rPr>
          <w:rFonts w:hint="eastAsia" w:ascii="宋体" w:hAnsi="宋体" w:cs="宋体"/>
          <w:sz w:val="24"/>
        </w:rPr>
        <w:t>（招标采购单位名称）：</w:t>
      </w:r>
    </w:p>
    <w:p>
      <w:pPr>
        <w:snapToGrid w:val="0"/>
        <w:spacing w:before="156" w:beforeLines="50" w:after="50"/>
        <w:ind w:firstLine="720" w:firstLineChars="300"/>
        <w:rPr>
          <w:rFonts w:ascii="宋体" w:hAnsi="宋体" w:cs="宋体"/>
          <w:sz w:val="24"/>
          <w:szCs w:val="20"/>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 xml:space="preserve">（谈判响应方名称）的法定代表人，现授权委托本单位在职职工 </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项目的投标活动，并代表我方全权办理针对上述项目的投标、开标、评标、签约等具体事务和签署相关文件。</w:t>
      </w:r>
    </w:p>
    <w:p>
      <w:pPr>
        <w:snapToGrid w:val="0"/>
        <w:spacing w:before="156" w:beforeLines="50" w:after="50"/>
        <w:rPr>
          <w:rFonts w:ascii="宋体" w:hAnsi="宋体" w:cs="宋体"/>
          <w:sz w:val="24"/>
          <w:szCs w:val="20"/>
        </w:rPr>
      </w:pPr>
      <w:r>
        <w:rPr>
          <w:rFonts w:hint="eastAsia" w:ascii="宋体" w:hAnsi="宋体" w:cs="宋体"/>
          <w:sz w:val="24"/>
        </w:rPr>
        <w:t xml:space="preserve">    我方对委托代理人的签名事项负全部责任。</w:t>
      </w:r>
    </w:p>
    <w:p>
      <w:pPr>
        <w:snapToGrid w:val="0"/>
        <w:spacing w:before="156" w:beforeLines="50" w:after="50"/>
        <w:ind w:firstLine="480"/>
        <w:rPr>
          <w:rFonts w:ascii="宋体" w:hAnsi="宋体" w:cs="宋体"/>
          <w:sz w:val="24"/>
          <w:szCs w:val="20"/>
        </w:rPr>
      </w:pPr>
      <w:r>
        <w:rPr>
          <w:rFonts w:hint="eastAsia" w:ascii="宋体" w:hAnsi="宋体" w:cs="宋体"/>
          <w:sz w:val="24"/>
          <w:u w:val="single"/>
        </w:rPr>
        <w:t>在撤销授权的书面通知以前，本授权书一直有效。</w:t>
      </w:r>
      <w:r>
        <w:rPr>
          <w:rFonts w:hint="eastAsia" w:ascii="宋体" w:hAnsi="宋体" w:cs="宋体"/>
          <w:sz w:val="24"/>
        </w:rPr>
        <w:t>委托代理人在授权书有效期内签署的所有文件不因授权的撤销而失效。</w:t>
      </w:r>
    </w:p>
    <w:p>
      <w:pPr>
        <w:snapToGrid w:val="0"/>
        <w:spacing w:before="156" w:beforeLines="50" w:after="50"/>
        <w:ind w:firstLine="480"/>
        <w:rPr>
          <w:rFonts w:ascii="宋体" w:hAnsi="宋体" w:cs="宋体"/>
          <w:sz w:val="24"/>
          <w:szCs w:val="20"/>
        </w:rPr>
      </w:pPr>
      <w:r>
        <w:rPr>
          <w:rFonts w:hint="eastAsia" w:ascii="宋体" w:hAnsi="宋体" w:cs="宋体"/>
          <w:sz w:val="24"/>
        </w:rPr>
        <w:t>委托代理人无转委托权，特此委托。</w:t>
      </w:r>
    </w:p>
    <w:p>
      <w:pPr>
        <w:snapToGrid w:val="0"/>
        <w:spacing w:before="156" w:beforeLines="50" w:after="50"/>
        <w:rPr>
          <w:rFonts w:ascii="宋体" w:hAnsi="宋体" w:cs="宋体"/>
          <w:sz w:val="24"/>
          <w:szCs w:val="20"/>
          <w:u w:val="single"/>
        </w:rPr>
      </w:pPr>
      <w:r>
        <w:rPr>
          <w:rFonts w:hint="eastAsia" w:ascii="宋体" w:hAnsi="宋体" w:cs="宋体"/>
          <w:sz w:val="24"/>
        </w:rPr>
        <w:t>委托代理人签名：</w:t>
      </w:r>
      <w:r>
        <w:rPr>
          <w:rFonts w:hint="eastAsia" w:ascii="宋体" w:hAnsi="宋体" w:cs="宋体"/>
          <w:sz w:val="24"/>
          <w:u w:val="single"/>
        </w:rPr>
        <w:t xml:space="preserve">          </w:t>
      </w:r>
      <w:r>
        <w:rPr>
          <w:rFonts w:hint="eastAsia" w:ascii="宋体" w:hAnsi="宋体" w:cs="宋体"/>
          <w:sz w:val="24"/>
        </w:rPr>
        <w:t xml:space="preserve">                 法定代表人（签字或盖章）：</w:t>
      </w:r>
      <w:r>
        <w:rPr>
          <w:rFonts w:hint="eastAsia" w:ascii="宋体" w:hAnsi="宋体" w:cs="宋体"/>
          <w:sz w:val="24"/>
          <w:u w:val="single"/>
        </w:rPr>
        <w:t xml:space="preserve">          </w:t>
      </w:r>
    </w:p>
    <w:p>
      <w:pPr>
        <w:snapToGrid w:val="0"/>
        <w:spacing w:before="156" w:beforeLines="50" w:after="50"/>
        <w:ind w:firstLine="960" w:firstLineChars="400"/>
        <w:rPr>
          <w:rFonts w:ascii="宋体" w:hAnsi="宋体" w:cs="宋体"/>
          <w:sz w:val="24"/>
          <w:szCs w:val="20"/>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napToGrid w:val="0"/>
        <w:spacing w:before="156" w:beforeLines="50" w:after="50"/>
        <w:rPr>
          <w:rFonts w:ascii="宋体" w:hAnsi="宋体" w:cs="宋体"/>
          <w:sz w:val="24"/>
        </w:rPr>
      </w:pPr>
      <w:r>
        <w:rPr>
          <w:rFonts w:hint="eastAsia" w:ascii="宋体" w:hAnsi="宋体" w:cs="宋体"/>
          <w:sz w:val="24"/>
        </w:rPr>
        <w:t>委托代理人身份证复印件（正反双面）：</w:t>
      </w:r>
    </w:p>
    <w:tbl>
      <w:tblPr>
        <w:tblStyle w:val="21"/>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29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345" w:hRule="atLeast"/>
        </w:trPr>
        <w:tc>
          <w:tcPr>
            <w:tcW w:w="5298" w:type="dxa"/>
          </w:tcPr>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jc w:val="center"/>
              <w:rPr>
                <w:rFonts w:ascii="宋体" w:hAnsi="宋体" w:cs="宋体"/>
                <w:sz w:val="48"/>
                <w:szCs w:val="48"/>
              </w:rPr>
            </w:pPr>
            <w:r>
              <w:rPr>
                <w:rFonts w:hint="eastAsia" w:ascii="宋体" w:hAnsi="宋体" w:cs="宋体"/>
                <w:sz w:val="48"/>
                <w:szCs w:val="48"/>
              </w:rPr>
              <w:t>粘</w:t>
            </w:r>
          </w:p>
          <w:p>
            <w:pPr>
              <w:snapToGrid w:val="0"/>
              <w:spacing w:before="156" w:beforeLines="50" w:after="50"/>
              <w:jc w:val="center"/>
              <w:rPr>
                <w:rFonts w:ascii="宋体" w:hAnsi="宋体" w:cs="宋体"/>
                <w:sz w:val="48"/>
                <w:szCs w:val="48"/>
              </w:rPr>
            </w:pPr>
          </w:p>
          <w:p>
            <w:pPr>
              <w:snapToGrid w:val="0"/>
              <w:spacing w:before="156" w:beforeLines="50" w:after="50"/>
              <w:jc w:val="center"/>
              <w:rPr>
                <w:rFonts w:ascii="宋体" w:hAnsi="宋体" w:cs="宋体"/>
                <w:sz w:val="48"/>
                <w:szCs w:val="48"/>
              </w:rPr>
            </w:pPr>
            <w:r>
              <w:rPr>
                <w:rFonts w:hint="eastAsia" w:ascii="宋体" w:hAnsi="宋体" w:cs="宋体"/>
                <w:sz w:val="48"/>
                <w:szCs w:val="48"/>
              </w:rPr>
              <w:t>贴</w:t>
            </w:r>
          </w:p>
          <w:p>
            <w:pPr>
              <w:snapToGrid w:val="0"/>
              <w:spacing w:before="156" w:beforeLines="50" w:after="50"/>
              <w:jc w:val="center"/>
              <w:rPr>
                <w:rFonts w:ascii="宋体" w:hAnsi="宋体" w:cs="宋体"/>
                <w:sz w:val="48"/>
                <w:szCs w:val="48"/>
              </w:rPr>
            </w:pPr>
          </w:p>
          <w:p>
            <w:pPr>
              <w:snapToGrid w:val="0"/>
              <w:spacing w:before="156" w:beforeLines="50" w:after="50"/>
              <w:jc w:val="center"/>
              <w:rPr>
                <w:rFonts w:ascii="宋体" w:hAnsi="宋体" w:cs="宋体"/>
                <w:sz w:val="36"/>
                <w:szCs w:val="36"/>
              </w:rPr>
            </w:pPr>
            <w:r>
              <w:rPr>
                <w:rFonts w:hint="eastAsia" w:ascii="宋体" w:hAnsi="宋体" w:cs="宋体"/>
                <w:sz w:val="48"/>
                <w:szCs w:val="48"/>
              </w:rPr>
              <w:t>处</w:t>
            </w:r>
          </w:p>
        </w:tc>
      </w:tr>
    </w:tbl>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r>
        <w:rPr>
          <w:rFonts w:hint="eastAsia" w:ascii="宋体" w:hAnsi="宋体" w:cs="宋体"/>
          <w:sz w:val="24"/>
        </w:rPr>
        <w:t xml:space="preserve"> </w:t>
      </w:r>
    </w:p>
    <w:p>
      <w:pPr>
        <w:snapToGrid w:val="0"/>
        <w:spacing w:before="156" w:beforeLines="50" w:after="50"/>
        <w:rPr>
          <w:rFonts w:ascii="宋体" w:hAnsi="宋体" w:cs="宋体"/>
          <w:sz w:val="24"/>
          <w:szCs w:val="20"/>
        </w:rPr>
      </w:pPr>
    </w:p>
    <w:p>
      <w:pPr>
        <w:snapToGrid w:val="0"/>
        <w:spacing w:before="156" w:beforeLines="50" w:after="50"/>
        <w:rPr>
          <w:rFonts w:ascii="宋体" w:hAnsi="宋体" w:cs="宋体"/>
          <w:sz w:val="24"/>
        </w:rPr>
      </w:pPr>
      <w:r>
        <w:rPr>
          <w:rFonts w:hint="eastAsia" w:ascii="宋体" w:hAnsi="宋体" w:cs="宋体"/>
          <w:sz w:val="24"/>
        </w:rPr>
        <w:t xml:space="preserve">                                                </w:t>
      </w: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ind w:firstLine="600" w:firstLineChars="250"/>
        <w:rPr>
          <w:rFonts w:ascii="宋体" w:hAnsi="宋体" w:cs="宋体"/>
          <w:sz w:val="24"/>
          <w:szCs w:val="20"/>
        </w:rPr>
      </w:pPr>
      <w:r>
        <w:rPr>
          <w:rFonts w:hint="eastAsia" w:ascii="宋体" w:hAnsi="宋体" w:cs="宋体"/>
          <w:sz w:val="24"/>
        </w:rPr>
        <w:t>谈判响应方公章：</w:t>
      </w:r>
    </w:p>
    <w:p>
      <w:pPr>
        <w:snapToGrid w:val="0"/>
        <w:spacing w:before="156" w:beforeLines="50" w:after="50"/>
        <w:jc w:val="center"/>
        <w:rPr>
          <w:rFonts w:ascii="宋体" w:hAnsi="宋体" w:cs="宋体"/>
          <w:sz w:val="24"/>
          <w:szCs w:val="20"/>
        </w:rPr>
      </w:pPr>
      <w:r>
        <w:rPr>
          <w:rFonts w:hint="eastAsia" w:ascii="宋体" w:hAnsi="宋体" w:cs="宋体"/>
          <w:sz w:val="24"/>
        </w:rPr>
        <w:t xml:space="preserve">                                                年    月    日</w:t>
      </w: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rPr>
          <w:rFonts w:ascii="宋体" w:hAnsi="宋体" w:cs="宋体"/>
          <w:b/>
          <w:sz w:val="24"/>
        </w:rPr>
      </w:pPr>
      <w:r>
        <w:rPr>
          <w:rFonts w:hint="eastAsia" w:ascii="宋体" w:hAnsi="宋体" w:cs="宋体"/>
          <w:b/>
          <w:sz w:val="24"/>
        </w:rPr>
        <w:t>*注；此表格格式不得修改。</w:t>
      </w:r>
    </w:p>
    <w:p>
      <w:pPr>
        <w:pStyle w:val="3"/>
        <w:rPr>
          <w:rFonts w:ascii="宋体" w:hAnsi="宋体" w:cs="宋体"/>
          <w:b/>
          <w:sz w:val="24"/>
        </w:rPr>
      </w:pPr>
    </w:p>
    <w:p>
      <w:pPr>
        <w:pageBreakBefore/>
        <w:overflowPunct w:val="0"/>
        <w:autoSpaceDE w:val="0"/>
        <w:autoSpaceDN w:val="0"/>
        <w:adjustRightInd w:val="0"/>
        <w:jc w:val="left"/>
        <w:textAlignment w:val="baseline"/>
        <w:outlineLvl w:val="1"/>
        <w:rPr>
          <w:rFonts w:ascii="宋体" w:hAnsi="宋体" w:cs="宋体"/>
          <w:bCs/>
          <w:kern w:val="0"/>
          <w:sz w:val="24"/>
          <w:szCs w:val="21"/>
        </w:rPr>
      </w:pPr>
      <w:bookmarkStart w:id="16" w:name="_Toc8594"/>
      <w:bookmarkStart w:id="17" w:name="_Toc13816"/>
      <w:r>
        <w:rPr>
          <w:rFonts w:hint="eastAsia" w:ascii="宋体" w:hAnsi="宋体" w:cs="宋体"/>
          <w:bCs/>
          <w:kern w:val="0"/>
          <w:sz w:val="24"/>
          <w:szCs w:val="21"/>
        </w:rPr>
        <w:t>附件四：</w:t>
      </w:r>
      <w:bookmarkEnd w:id="16"/>
      <w:r>
        <w:rPr>
          <w:rFonts w:hint="eastAsia" w:ascii="宋体" w:hAnsi="宋体" w:cs="宋体"/>
          <w:bCs/>
          <w:kern w:val="0"/>
          <w:sz w:val="24"/>
          <w:szCs w:val="21"/>
        </w:rPr>
        <w:t>诚信承诺书</w:t>
      </w:r>
      <w:bookmarkEnd w:id="17"/>
    </w:p>
    <w:p>
      <w:pPr>
        <w:jc w:val="center"/>
        <w:rPr>
          <w:rFonts w:ascii="宋体" w:hAnsi="宋体" w:cs="宋体"/>
          <w:b/>
          <w:bCs/>
          <w:sz w:val="44"/>
          <w:szCs w:val="44"/>
        </w:rPr>
      </w:pPr>
    </w:p>
    <w:p>
      <w:pPr>
        <w:snapToGrid w:val="0"/>
        <w:spacing w:before="50" w:after="50" w:line="360" w:lineRule="auto"/>
        <w:jc w:val="center"/>
        <w:rPr>
          <w:rFonts w:ascii="宋体" w:hAnsi="宋体"/>
          <w:b/>
          <w:sz w:val="32"/>
          <w:szCs w:val="28"/>
        </w:rPr>
      </w:pPr>
      <w:r>
        <w:rPr>
          <w:rFonts w:hint="eastAsia" w:ascii="宋体" w:hAnsi="宋体"/>
          <w:b/>
          <w:sz w:val="32"/>
          <w:szCs w:val="28"/>
        </w:rPr>
        <w:t>诚信承诺书</w:t>
      </w:r>
    </w:p>
    <w:p>
      <w:pPr>
        <w:spacing w:line="360" w:lineRule="auto"/>
        <w:jc w:val="center"/>
        <w:rPr>
          <w:rFonts w:ascii="宋体" w:hAnsi="宋体"/>
          <w:sz w:val="28"/>
          <w:szCs w:val="28"/>
        </w:rPr>
      </w:pPr>
    </w:p>
    <w:p>
      <w:pPr>
        <w:spacing w:line="360" w:lineRule="auto"/>
        <w:rPr>
          <w:rFonts w:ascii="宋体" w:hAnsi="宋体"/>
          <w:sz w:val="24"/>
        </w:rPr>
      </w:pPr>
      <w:r>
        <w:rPr>
          <w:rFonts w:hint="eastAsia" w:ascii="宋体" w:hAnsi="宋体"/>
          <w:sz w:val="24"/>
          <w:u w:val="single"/>
        </w:rPr>
        <w:t xml:space="preserve">浙江广厦建设职业技术大学  </w:t>
      </w:r>
      <w:r>
        <w:rPr>
          <w:rFonts w:hint="eastAsia" w:ascii="宋体" w:hAnsi="宋体"/>
          <w:sz w:val="24"/>
        </w:rPr>
        <w:t>：</w:t>
      </w:r>
    </w:p>
    <w:p>
      <w:pPr>
        <w:spacing w:line="360" w:lineRule="auto"/>
        <w:ind w:left="479" w:leftChars="228"/>
        <w:rPr>
          <w:rFonts w:ascii="宋体" w:hAnsi="宋体"/>
          <w:sz w:val="24"/>
        </w:rPr>
      </w:pPr>
      <w:r>
        <w:rPr>
          <w:rFonts w:hint="eastAsia" w:ascii="宋体" w:hAnsi="宋体"/>
          <w:sz w:val="24"/>
        </w:rPr>
        <w:t>我方在参加贵单位的（项目编号）＿＿＿＿＿＿（项目名称）＿＿＿＿＿＿项目（标项名称）＿＿＿＿＿ 的招标活动中，郑重承诺如下：</w:t>
      </w:r>
    </w:p>
    <w:p>
      <w:pPr>
        <w:spacing w:line="360" w:lineRule="auto"/>
        <w:ind w:firstLine="480" w:firstLineChars="200"/>
        <w:rPr>
          <w:rFonts w:ascii="宋体" w:hAnsi="宋体"/>
          <w:sz w:val="24"/>
        </w:rPr>
      </w:pPr>
      <w:r>
        <w:rPr>
          <w:rFonts w:hint="eastAsia" w:ascii="宋体" w:hAnsi="宋体"/>
          <w:sz w:val="24"/>
        </w:rPr>
        <w:t>1、我方申报的所有资料都是真实、准确、完整的；</w:t>
      </w:r>
    </w:p>
    <w:p>
      <w:pPr>
        <w:spacing w:line="360" w:lineRule="auto"/>
        <w:ind w:firstLine="480" w:firstLineChars="200"/>
        <w:rPr>
          <w:rFonts w:ascii="宋体" w:hAnsi="宋体"/>
          <w:sz w:val="24"/>
        </w:rPr>
      </w:pPr>
      <w:r>
        <w:rPr>
          <w:rFonts w:hint="eastAsia" w:ascii="宋体" w:hAnsi="宋体"/>
          <w:sz w:val="24"/>
        </w:rPr>
        <w:t>2、我方无资质挂靠情形，保证不参与串通投标、抬高投标价格；</w:t>
      </w:r>
    </w:p>
    <w:p>
      <w:pPr>
        <w:spacing w:line="360" w:lineRule="auto"/>
        <w:ind w:firstLine="480" w:firstLineChars="200"/>
        <w:rPr>
          <w:rFonts w:ascii="宋体" w:hAnsi="宋体"/>
          <w:sz w:val="24"/>
        </w:rPr>
      </w:pPr>
      <w:r>
        <w:rPr>
          <w:rFonts w:hint="eastAsia"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hint="eastAsia" w:ascii="宋体" w:hAnsi="宋体"/>
          <w:sz w:val="24"/>
        </w:rPr>
        <w:t>4、我方参加本项目招标活动前3年内在经营活动中没有重大违法记录；</w:t>
      </w:r>
    </w:p>
    <w:p>
      <w:pPr>
        <w:spacing w:line="360" w:lineRule="auto"/>
        <w:ind w:firstLine="480" w:firstLineChars="200"/>
        <w:rPr>
          <w:rFonts w:ascii="宋体" w:hAnsi="宋体"/>
          <w:sz w:val="24"/>
        </w:rPr>
      </w:pPr>
      <w:r>
        <w:rPr>
          <w:rFonts w:hint="eastAsia" w:ascii="宋体" w:hAnsi="宋体"/>
          <w:sz w:val="24"/>
        </w:rPr>
        <w:t>5、若我方成为成交供应商，将严格按照规定及时与业主签订合同；</w:t>
      </w:r>
    </w:p>
    <w:p>
      <w:pPr>
        <w:spacing w:line="360" w:lineRule="auto"/>
        <w:ind w:firstLine="482" w:firstLineChars="200"/>
        <w:rPr>
          <w:rFonts w:ascii="宋体" w:hAnsi="宋体"/>
          <w:b/>
          <w:bCs/>
          <w:sz w:val="24"/>
        </w:rPr>
      </w:pPr>
      <w:r>
        <w:rPr>
          <w:rFonts w:hint="eastAsia" w:ascii="宋体" w:hAnsi="宋体"/>
          <w:b/>
          <w:bCs/>
          <w:sz w:val="24"/>
        </w:rPr>
        <w:t>6、若我方成为成交供应商，将严格按照招标文件技术要求及我司响应文件承诺的质量、供货时间、报价、投标方案等内容组织实施；</w:t>
      </w:r>
    </w:p>
    <w:p>
      <w:pPr>
        <w:spacing w:line="360" w:lineRule="auto"/>
        <w:ind w:firstLine="480" w:firstLineChars="200"/>
        <w:rPr>
          <w:rFonts w:ascii="宋体" w:hAnsi="宋体"/>
          <w:sz w:val="24"/>
        </w:rPr>
      </w:pPr>
      <w:r>
        <w:rPr>
          <w:rFonts w:hint="eastAsia" w:ascii="宋体" w:hAnsi="宋体"/>
          <w:sz w:val="24"/>
        </w:rPr>
        <w:t>我方若违反上述承诺，隐瞒、提供虚假资料或不按招标文件要求组织实施或参与串通投标、抬高投标价格等行为，被贵方发现或被他人举报查实，无条件接受采购人、行政监管部门作出的取消招标资格、成交资格、解除合同、拒绝后续招标，并自愿被列入不良行为记录、不守信用黑名单、政府采购黑名单等的处罚。对造成的损失，任何法律和经济责任完全由我司负责。</w:t>
      </w:r>
    </w:p>
    <w:p>
      <w:pPr>
        <w:spacing w:line="360" w:lineRule="auto"/>
        <w:ind w:firstLine="480" w:firstLineChars="200"/>
        <w:rPr>
          <w:rFonts w:ascii="宋体" w:hAnsi="宋体"/>
          <w:sz w:val="24"/>
        </w:rPr>
      </w:pPr>
      <w:r>
        <w:rPr>
          <w:rFonts w:hint="eastAsia" w:ascii="宋体" w:hAnsi="宋体"/>
          <w:sz w:val="24"/>
        </w:rPr>
        <w:t>特此承诺。</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napToGrid w:val="0"/>
        <w:spacing w:before="50" w:after="50"/>
        <w:ind w:left="-2" w:leftChars="-1" w:right="-817" w:rightChars="-389" w:firstLine="360" w:firstLineChars="150"/>
        <w:rPr>
          <w:rFonts w:ascii="宋体" w:hAnsi="宋体"/>
          <w:sz w:val="24"/>
        </w:rPr>
      </w:pPr>
      <w:r>
        <w:rPr>
          <w:rFonts w:hint="eastAsia" w:ascii="宋体" w:hAnsi="宋体"/>
          <w:sz w:val="24"/>
        </w:rPr>
        <w:t>法定代表人或委托代理人（签字或盖章）：</w:t>
      </w:r>
    </w:p>
    <w:p>
      <w:pPr>
        <w:snapToGrid w:val="0"/>
        <w:spacing w:before="50" w:after="50"/>
        <w:ind w:left="-2" w:leftChars="-1" w:right="-817" w:rightChars="-389" w:firstLine="360" w:firstLineChars="150"/>
        <w:rPr>
          <w:rFonts w:ascii="宋体" w:hAnsi="宋体"/>
          <w:sz w:val="24"/>
        </w:rPr>
      </w:pPr>
    </w:p>
    <w:p>
      <w:pPr>
        <w:snapToGrid w:val="0"/>
        <w:spacing w:before="50" w:after="50"/>
        <w:ind w:right="-817" w:rightChars="-389" w:firstLine="360" w:firstLineChars="150"/>
        <w:rPr>
          <w:rFonts w:ascii="宋体" w:hAnsi="宋体"/>
          <w:sz w:val="24"/>
        </w:rPr>
      </w:pPr>
      <w:r>
        <w:rPr>
          <w:rFonts w:hint="eastAsia" w:ascii="宋体" w:hAnsi="宋体"/>
          <w:sz w:val="24"/>
        </w:rPr>
        <w:t xml:space="preserve">投标人名称（盖章）：                                         </w:t>
      </w:r>
    </w:p>
    <w:p>
      <w:pPr>
        <w:snapToGrid w:val="0"/>
        <w:spacing w:before="50" w:after="50"/>
        <w:ind w:right="-817" w:rightChars="-389"/>
        <w:rPr>
          <w:rFonts w:ascii="宋体" w:hAnsi="宋体"/>
          <w:sz w:val="24"/>
        </w:rPr>
      </w:pPr>
    </w:p>
    <w:p>
      <w:pPr>
        <w:pStyle w:val="19"/>
        <w:ind w:firstLine="5760" w:firstLineChars="2400"/>
        <w:rPr>
          <w:rFonts w:ascii="宋体" w:hAnsi="宋体"/>
          <w:sz w:val="24"/>
        </w:rPr>
      </w:pPr>
      <w:r>
        <w:rPr>
          <w:rFonts w:hint="eastAsia" w:ascii="宋体" w:hAnsi="宋体"/>
          <w:sz w:val="24"/>
        </w:rPr>
        <w:t>日期：    年   月   日</w:t>
      </w:r>
    </w:p>
    <w:p>
      <w:pPr>
        <w:rPr>
          <w:rFonts w:ascii="宋体" w:hAnsi="宋体"/>
          <w:sz w:val="24"/>
        </w:rPr>
      </w:pPr>
    </w:p>
    <w:p>
      <w:pPr>
        <w:pStyle w:val="3"/>
        <w:rPr>
          <w:rFonts w:ascii="宋体" w:hAnsi="宋体"/>
          <w:sz w:val="24"/>
        </w:rPr>
      </w:pPr>
    </w:p>
    <w:p>
      <w:pPr>
        <w:pStyle w:val="31"/>
        <w:rPr>
          <w:rFonts w:ascii="宋体" w:hAnsi="宋体"/>
          <w:sz w:val="24"/>
        </w:rPr>
      </w:pPr>
    </w:p>
    <w:p>
      <w:pPr>
        <w:pStyle w:val="5"/>
        <w:rPr>
          <w:rFonts w:hAnsi="宋体"/>
          <w:b w:val="0"/>
          <w:sz w:val="24"/>
        </w:rPr>
      </w:pPr>
      <w:r>
        <w:rPr>
          <w:rFonts w:hint="eastAsia" w:hAnsi="宋体"/>
          <w:b w:val="0"/>
          <w:sz w:val="24"/>
        </w:rPr>
        <w:t>附件五 商务、技术响应表</w:t>
      </w:r>
    </w:p>
    <w:p>
      <w:pPr>
        <w:jc w:val="center"/>
        <w:rPr>
          <w:rFonts w:ascii="宋体" w:hAnsi="宋体"/>
          <w:b/>
          <w:sz w:val="30"/>
          <w:szCs w:val="30"/>
        </w:rPr>
      </w:pPr>
      <w:r>
        <w:rPr>
          <w:rFonts w:hint="eastAsia" w:ascii="宋体" w:hAnsi="宋体"/>
          <w:b/>
          <w:sz w:val="30"/>
          <w:szCs w:val="30"/>
        </w:rPr>
        <w:t>商务、技术响应表</w:t>
      </w:r>
    </w:p>
    <w:p>
      <w:pPr>
        <w:snapToGrid w:val="0"/>
        <w:spacing w:before="50" w:after="156" w:afterLines="50"/>
        <w:jc w:val="left"/>
        <w:rPr>
          <w:rFonts w:ascii="宋体" w:hAnsi="宋体"/>
          <w:sz w:val="24"/>
          <w:szCs w:val="20"/>
        </w:rPr>
      </w:pPr>
      <w:r>
        <w:rPr>
          <w:rFonts w:hint="eastAsia" w:ascii="宋体" w:hAnsi="宋体"/>
        </w:rPr>
        <w:t>谈判编号：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903"/>
        <w:gridCol w:w="2008"/>
        <w:gridCol w:w="1663"/>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序号</w:t>
            </w:r>
          </w:p>
        </w:tc>
        <w:tc>
          <w:tcPr>
            <w:tcW w:w="19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内  容</w:t>
            </w:r>
          </w:p>
        </w:tc>
        <w:tc>
          <w:tcPr>
            <w:tcW w:w="2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谈判文件</w:t>
            </w:r>
          </w:p>
          <w:p>
            <w:pPr>
              <w:jc w:val="center"/>
              <w:rPr>
                <w:rFonts w:ascii="宋体" w:hAnsi="宋体"/>
                <w:sz w:val="24"/>
              </w:rPr>
            </w:pPr>
            <w:r>
              <w:rPr>
                <w:rFonts w:hint="eastAsia" w:ascii="宋体" w:hAnsi="宋体"/>
                <w:sz w:val="24"/>
              </w:rPr>
              <w:t>规范要求</w:t>
            </w:r>
          </w:p>
        </w:tc>
        <w:tc>
          <w:tcPr>
            <w:tcW w:w="1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谈判响应文件</w:t>
            </w:r>
          </w:p>
          <w:p>
            <w:pPr>
              <w:jc w:val="center"/>
              <w:rPr>
                <w:rFonts w:ascii="宋体" w:hAnsi="宋体"/>
                <w:sz w:val="24"/>
              </w:rPr>
            </w:pPr>
            <w:r>
              <w:rPr>
                <w:rFonts w:hint="eastAsia" w:ascii="宋体" w:hAnsi="宋体"/>
                <w:sz w:val="24"/>
              </w:rPr>
              <w:t>对应规范</w:t>
            </w:r>
          </w:p>
        </w:tc>
        <w:tc>
          <w:tcPr>
            <w:tcW w:w="2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偏离情况</w:t>
            </w:r>
          </w:p>
          <w:p>
            <w:pPr>
              <w:jc w:val="center"/>
              <w:rPr>
                <w:rFonts w:ascii="宋体" w:hAnsi="宋体"/>
                <w:sz w:val="24"/>
              </w:rPr>
            </w:pPr>
            <w:r>
              <w:rPr>
                <w:rFonts w:hint="eastAsia" w:ascii="宋体" w:hAnsi="宋体"/>
                <w:sz w:val="24"/>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1"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bl>
    <w:p>
      <w:pPr>
        <w:snapToGrid w:val="0"/>
        <w:spacing w:before="50" w:after="50"/>
        <w:rPr>
          <w:rFonts w:ascii="宋体" w:hAnsi="宋体"/>
          <w:b/>
          <w:bCs/>
          <w:sz w:val="24"/>
          <w:szCs w:val="20"/>
        </w:rPr>
      </w:pPr>
    </w:p>
    <w:p>
      <w:pPr>
        <w:snapToGrid w:val="0"/>
        <w:spacing w:before="50" w:after="50"/>
        <w:rPr>
          <w:rFonts w:ascii="宋体" w:hAnsi="宋体"/>
          <w:b/>
          <w:bCs/>
          <w:spacing w:val="20"/>
          <w:sz w:val="24"/>
          <w:szCs w:val="20"/>
        </w:rPr>
      </w:pPr>
      <w:r>
        <w:rPr>
          <w:rFonts w:hint="eastAsia" w:ascii="宋体" w:hAnsi="宋体"/>
          <w:b/>
          <w:bCs/>
          <w:sz w:val="24"/>
          <w:szCs w:val="20"/>
        </w:rPr>
        <w:t>注：谈判响应方应根据投谈判项目的性能指标、对照竞争性谈判文件要求在“偏离情况”栏注明“正偏离”、“负偏离”或“无偏离”。</w:t>
      </w:r>
    </w:p>
    <w:p>
      <w:pPr>
        <w:snapToGrid w:val="0"/>
        <w:spacing w:before="50" w:after="50"/>
        <w:rPr>
          <w:rFonts w:ascii="宋体" w:hAnsi="宋体"/>
          <w:spacing w:val="20"/>
          <w:sz w:val="24"/>
        </w:rPr>
      </w:pPr>
    </w:p>
    <w:p>
      <w:pPr>
        <w:snapToGrid w:val="0"/>
        <w:spacing w:before="50" w:after="50"/>
        <w:rPr>
          <w:rFonts w:ascii="宋体" w:hAnsi="宋体"/>
          <w:spacing w:val="20"/>
          <w:sz w:val="24"/>
          <w:szCs w:val="20"/>
          <w:u w:val="single"/>
        </w:rPr>
      </w:pPr>
      <w:r>
        <w:rPr>
          <w:rFonts w:hint="eastAsia" w:ascii="宋体" w:hAnsi="宋体"/>
          <w:sz w:val="24"/>
        </w:rPr>
        <w:t>法定代表人或委托代理人签字</w:t>
      </w:r>
      <w:r>
        <w:rPr>
          <w:rFonts w:hint="eastAsia" w:ascii="宋体" w:hAnsi="宋体"/>
          <w:spacing w:val="20"/>
          <w:sz w:val="24"/>
        </w:rPr>
        <w:t>：</w:t>
      </w:r>
      <w:r>
        <w:rPr>
          <w:rFonts w:hint="eastAsia" w:ascii="宋体" w:hAnsi="宋体"/>
          <w:spacing w:val="20"/>
          <w:sz w:val="24"/>
          <w:u w:val="single"/>
        </w:rPr>
        <w:t xml:space="preserve">        </w:t>
      </w:r>
    </w:p>
    <w:p>
      <w:pPr>
        <w:snapToGrid w:val="0"/>
        <w:spacing w:before="50" w:after="50"/>
        <w:rPr>
          <w:rFonts w:ascii="宋体" w:hAnsi="宋体"/>
          <w:sz w:val="24"/>
          <w:szCs w:val="20"/>
        </w:rPr>
      </w:pPr>
      <w:r>
        <w:rPr>
          <w:rFonts w:hint="eastAsia" w:ascii="宋体" w:hAnsi="宋体"/>
          <w:spacing w:val="20"/>
          <w:sz w:val="24"/>
        </w:rPr>
        <w:t>谈判响应方盖章：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spacing w:line="360" w:lineRule="auto"/>
        <w:rPr>
          <w:rFonts w:ascii="宋体" w:hAnsi="宋体"/>
        </w:rPr>
      </w:pPr>
    </w:p>
    <w:p>
      <w:pPr>
        <w:pStyle w:val="10"/>
        <w:spacing w:line="480" w:lineRule="auto"/>
        <w:rPr>
          <w:rFonts w:hAnsi="宋体"/>
        </w:rPr>
      </w:pPr>
    </w:p>
    <w:p>
      <w:pPr>
        <w:pStyle w:val="10"/>
        <w:spacing w:line="480" w:lineRule="auto"/>
        <w:rPr>
          <w:rFonts w:hAnsi="宋体"/>
        </w:rPr>
      </w:pPr>
    </w:p>
    <w:p>
      <w:pPr>
        <w:pStyle w:val="20"/>
        <w:ind w:left="0" w:leftChars="0" w:firstLine="0" w:firstLineChars="0"/>
        <w:rPr>
          <w:sz w:val="24"/>
          <w:highlight w:val="green"/>
        </w:rPr>
      </w:pPr>
    </w:p>
    <w:sectPr>
      <w:headerReference r:id="rId3" w:type="default"/>
      <w:footerReference r:id="rId4" w:type="default"/>
      <w:pgSz w:w="11906" w:h="16838"/>
      <w:pgMar w:top="873" w:right="1418" w:bottom="420" w:left="1418" w:header="851" w:footer="992"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A00002EF" w:usb1="4000204B" w:usb2="00000000" w:usb3="00000000" w:csb0="200000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Ari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仿宋">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153"/>
        <w:tab w:val="right" w:pos="9190"/>
      </w:tabs>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r>
      <w:rPr>
        <w:rFonts w:hint="eastAsia"/>
      </w:rPr>
      <w:tab/>
    </w:r>
    <w:r>
      <w:rPr>
        <w:rFonts w:hint="eastAsia"/>
      </w:rPr>
      <w:t xml:space="preserve">      浙江广厦建设职业技术大学</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ascii="宋体" w:hAnsi="宋体" w:cs="宋体"/>
        <w:bCs/>
        <w:szCs w:val="18"/>
      </w:rPr>
    </w:pPr>
    <w:r>
      <w:rPr>
        <w:rFonts w:hint="eastAsia" w:ascii="宋体" w:hAnsi="宋体" w:cs="宋体"/>
        <w:bCs/>
        <w:szCs w:val="18"/>
      </w:rPr>
      <w:t>浙江广厦建设职业技术大学移动式垃圾压缩机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chineseCountingThousand"/>
      <w:lvlText w:val="%1、"/>
      <w:lvlJc w:val="left"/>
      <w:pPr>
        <w:tabs>
          <w:tab w:val="left" w:pos="0"/>
        </w:tabs>
        <w:ind w:left="720" w:hanging="720"/>
      </w:pPr>
      <w:rPr>
        <w:rFonts w:cs="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CF092B84"/>
    <w:multiLevelType w:val="multilevel"/>
    <w:tmpl w:val="CF092B84"/>
    <w:lvl w:ilvl="0" w:tentative="0">
      <w:start w:val="1"/>
      <w:numFmt w:val="chineseCountingThousand"/>
      <w:pStyle w:val="43"/>
      <w:lvlText w:val="第%1章"/>
      <w:lvlJc w:val="left"/>
      <w:pPr>
        <w:tabs>
          <w:tab w:val="left" w:pos="0"/>
        </w:tabs>
        <w:ind w:left="1440" w:hanging="1275"/>
      </w:pPr>
    </w:lvl>
    <w:lvl w:ilvl="1" w:tentative="0">
      <w:start w:val="1"/>
      <w:numFmt w:val="chineseCountingThousand"/>
      <w:lvlText w:val="%2、"/>
      <w:lvlJc w:val="left"/>
      <w:pPr>
        <w:tabs>
          <w:tab w:val="left" w:pos="0"/>
        </w:tabs>
        <w:ind w:left="1305" w:hanging="720"/>
      </w:pPr>
    </w:lvl>
    <w:lvl w:ilvl="2" w:tentative="0">
      <w:start w:val="1"/>
      <w:numFmt w:val="decimal"/>
      <w:lvlText w:val="%3."/>
      <w:lvlJc w:val="left"/>
      <w:pPr>
        <w:tabs>
          <w:tab w:val="left" w:pos="0"/>
        </w:tabs>
        <w:ind w:left="2160" w:hanging="360"/>
      </w:pPr>
    </w:lvl>
    <w:lvl w:ilvl="3" w:tentative="0">
      <w:start w:val="1"/>
      <w:numFmt w:val="decimal"/>
      <w:lvlText w:val="%4."/>
      <w:lvlJc w:val="left"/>
      <w:pPr>
        <w:tabs>
          <w:tab w:val="left" w:pos="0"/>
        </w:tabs>
        <w:ind w:left="2880" w:hanging="360"/>
      </w:pPr>
    </w:lvl>
    <w:lvl w:ilvl="4" w:tentative="0">
      <w:start w:val="1"/>
      <w:numFmt w:val="decimal"/>
      <w:lvlText w:val="%5."/>
      <w:lvlJc w:val="left"/>
      <w:pPr>
        <w:tabs>
          <w:tab w:val="left" w:pos="0"/>
        </w:tabs>
        <w:ind w:left="3600" w:hanging="360"/>
      </w:pPr>
    </w:lvl>
    <w:lvl w:ilvl="5" w:tentative="0">
      <w:start w:val="1"/>
      <w:numFmt w:val="decimal"/>
      <w:lvlText w:val="%6."/>
      <w:lvlJc w:val="left"/>
      <w:pPr>
        <w:tabs>
          <w:tab w:val="left" w:pos="0"/>
        </w:tabs>
        <w:ind w:left="4320" w:hanging="360"/>
      </w:pPr>
    </w:lvl>
    <w:lvl w:ilvl="6" w:tentative="0">
      <w:start w:val="1"/>
      <w:numFmt w:val="decimal"/>
      <w:lvlText w:val="%7."/>
      <w:lvlJc w:val="left"/>
      <w:pPr>
        <w:tabs>
          <w:tab w:val="left" w:pos="0"/>
        </w:tabs>
        <w:ind w:left="5040" w:hanging="360"/>
      </w:pPr>
    </w:lvl>
    <w:lvl w:ilvl="7" w:tentative="0">
      <w:start w:val="1"/>
      <w:numFmt w:val="decimal"/>
      <w:lvlText w:val="%8."/>
      <w:lvlJc w:val="left"/>
      <w:pPr>
        <w:tabs>
          <w:tab w:val="left" w:pos="0"/>
        </w:tabs>
        <w:ind w:left="5760" w:hanging="360"/>
      </w:pPr>
    </w:lvl>
    <w:lvl w:ilvl="8" w:tentative="0">
      <w:start w:val="1"/>
      <w:numFmt w:val="decimal"/>
      <w:lvlText w:val="%9."/>
      <w:lvlJc w:val="left"/>
      <w:pPr>
        <w:tabs>
          <w:tab w:val="left" w:pos="0"/>
        </w:tabs>
        <w:ind w:left="6480" w:hanging="360"/>
      </w:pPr>
    </w:lvl>
  </w:abstractNum>
  <w:abstractNum w:abstractNumId="2">
    <w:nsid w:val="D165B68D"/>
    <w:multiLevelType w:val="singleLevel"/>
    <w:tmpl w:val="D165B68D"/>
    <w:lvl w:ilvl="0" w:tentative="0">
      <w:start w:val="1"/>
      <w:numFmt w:val="decimal"/>
      <w:suff w:val="nothing"/>
      <w:lvlText w:val="（%1）"/>
      <w:lvlJc w:val="left"/>
    </w:lvl>
  </w:abstractNum>
  <w:abstractNum w:abstractNumId="3">
    <w:nsid w:val="0053208E"/>
    <w:multiLevelType w:val="multilevel"/>
    <w:tmpl w:val="0053208E"/>
    <w:lvl w:ilvl="0" w:tentative="0">
      <w:start w:val="1"/>
      <w:numFmt w:val="none"/>
      <w:suff w:val="nothing"/>
      <w:lvlText w:val=""/>
      <w:lvlJc w:val="left"/>
      <w:pPr>
        <w:tabs>
          <w:tab w:val="left" w:pos="0"/>
        </w:tabs>
        <w:ind w:left="0" w:firstLine="0"/>
      </w:pPr>
    </w:lvl>
    <w:lvl w:ilvl="1" w:tentative="0">
      <w:start w:val="1"/>
      <w:numFmt w:val="none"/>
      <w:pStyle w:val="5"/>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4">
    <w:nsid w:val="18F94E63"/>
    <w:multiLevelType w:val="multilevel"/>
    <w:tmpl w:val="18F94E63"/>
    <w:lvl w:ilvl="0" w:tentative="0">
      <w:start w:val="5"/>
      <w:numFmt w:val="japaneseCounting"/>
      <w:lvlText w:val="%1、"/>
      <w:lvlJc w:val="left"/>
      <w:pPr>
        <w:ind w:left="510" w:hanging="51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21B8A4A"/>
    <w:multiLevelType w:val="singleLevel"/>
    <w:tmpl w:val="321B8A4A"/>
    <w:lvl w:ilvl="0" w:tentative="0">
      <w:start w:val="2"/>
      <w:numFmt w:val="chineseCounting"/>
      <w:suff w:val="nothing"/>
      <w:lvlText w:val="%1、"/>
      <w:lvlJc w:val="left"/>
      <w:rPr>
        <w:rFonts w:hint="eastAsia"/>
      </w:rPr>
    </w:lvl>
  </w:abstractNum>
  <w:abstractNum w:abstractNumId="6">
    <w:nsid w:val="4718142E"/>
    <w:multiLevelType w:val="singleLevel"/>
    <w:tmpl w:val="4718142E"/>
    <w:lvl w:ilvl="0" w:tentative="0">
      <w:start w:val="4"/>
      <w:numFmt w:val="chineseCounting"/>
      <w:suff w:val="nothing"/>
      <w:lvlText w:val="%1、"/>
      <w:lvlJc w:val="left"/>
      <w:rPr>
        <w:rFonts w:hint="eastAsia"/>
      </w:rPr>
    </w:lvl>
  </w:abstractNum>
  <w:num w:numId="1">
    <w:abstractNumId w:val="3"/>
  </w:num>
  <w:num w:numId="2">
    <w:abstractNumId w:val="1"/>
  </w:num>
  <w:num w:numId="3">
    <w:abstractNumId w:val="0"/>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autoHyphenation/>
  <w:noPunctuationKerning w:val="1"/>
  <w:characterSpacingControl w:val="doNotCompress"/>
  <w:compat>
    <w:noLeading/>
    <w:balanceSingleByteDoubleByteWidth/>
    <w:doNotExpandShiftReturn/>
    <w:doNotWrapTextWithPunct/>
    <w:doNotUseEastAsianBreakRules/>
    <w:useFELayout/>
    <w:doNotUseIndentAsNumberingTabStop/>
    <w:useAltKinsokuLineBreakRules/>
    <w:compatSetting w:name="compatibilityMode" w:uri="http://schemas.microsoft.com/office/word" w:val="14"/>
  </w:compat>
  <w:rsids>
    <w:rsidRoot w:val="00AB525C"/>
    <w:rsid w:val="000F0840"/>
    <w:rsid w:val="001038F1"/>
    <w:rsid w:val="001335F1"/>
    <w:rsid w:val="00140989"/>
    <w:rsid w:val="00172710"/>
    <w:rsid w:val="002C0B7F"/>
    <w:rsid w:val="00404D7B"/>
    <w:rsid w:val="0044434B"/>
    <w:rsid w:val="004600A6"/>
    <w:rsid w:val="00495CCC"/>
    <w:rsid w:val="004A50B8"/>
    <w:rsid w:val="00516087"/>
    <w:rsid w:val="005D4645"/>
    <w:rsid w:val="00661D11"/>
    <w:rsid w:val="0066414E"/>
    <w:rsid w:val="00712491"/>
    <w:rsid w:val="00917156"/>
    <w:rsid w:val="00AB525C"/>
    <w:rsid w:val="00AC2F47"/>
    <w:rsid w:val="00E05901"/>
    <w:rsid w:val="02EC77A7"/>
    <w:rsid w:val="03E25F14"/>
    <w:rsid w:val="03F62FB3"/>
    <w:rsid w:val="0607278D"/>
    <w:rsid w:val="06262432"/>
    <w:rsid w:val="06994A8B"/>
    <w:rsid w:val="07A75AFD"/>
    <w:rsid w:val="080E29B4"/>
    <w:rsid w:val="087E24E7"/>
    <w:rsid w:val="08B22B4C"/>
    <w:rsid w:val="08DD30AA"/>
    <w:rsid w:val="08F604F5"/>
    <w:rsid w:val="0E264489"/>
    <w:rsid w:val="0EA571D7"/>
    <w:rsid w:val="107065E4"/>
    <w:rsid w:val="11A1117F"/>
    <w:rsid w:val="123A7E2C"/>
    <w:rsid w:val="13930594"/>
    <w:rsid w:val="13B7478A"/>
    <w:rsid w:val="15104DA4"/>
    <w:rsid w:val="15341D4B"/>
    <w:rsid w:val="156A7E8D"/>
    <w:rsid w:val="16437974"/>
    <w:rsid w:val="1727267F"/>
    <w:rsid w:val="17B13E58"/>
    <w:rsid w:val="195D345D"/>
    <w:rsid w:val="19991978"/>
    <w:rsid w:val="1B7C360D"/>
    <w:rsid w:val="1C9F4B75"/>
    <w:rsid w:val="1CC7020F"/>
    <w:rsid w:val="1D80679D"/>
    <w:rsid w:val="1E274ADE"/>
    <w:rsid w:val="1EA164C8"/>
    <w:rsid w:val="1F5E4560"/>
    <w:rsid w:val="202E5912"/>
    <w:rsid w:val="207B1F35"/>
    <w:rsid w:val="21856A19"/>
    <w:rsid w:val="222E0510"/>
    <w:rsid w:val="23C24978"/>
    <w:rsid w:val="240336D4"/>
    <w:rsid w:val="25A67063"/>
    <w:rsid w:val="25B070BC"/>
    <w:rsid w:val="260F192D"/>
    <w:rsid w:val="26732D02"/>
    <w:rsid w:val="26876432"/>
    <w:rsid w:val="26CE6C89"/>
    <w:rsid w:val="27362170"/>
    <w:rsid w:val="275736F7"/>
    <w:rsid w:val="279039A4"/>
    <w:rsid w:val="27C30177"/>
    <w:rsid w:val="27F16527"/>
    <w:rsid w:val="281B7DC5"/>
    <w:rsid w:val="28B64D0A"/>
    <w:rsid w:val="28C67585"/>
    <w:rsid w:val="2909567C"/>
    <w:rsid w:val="2967574D"/>
    <w:rsid w:val="2A0F5AD0"/>
    <w:rsid w:val="2A870A34"/>
    <w:rsid w:val="2AC4440C"/>
    <w:rsid w:val="2ACE0B4F"/>
    <w:rsid w:val="2BAB6B62"/>
    <w:rsid w:val="2CD4195A"/>
    <w:rsid w:val="2D062237"/>
    <w:rsid w:val="2DC42306"/>
    <w:rsid w:val="2F7D7FF1"/>
    <w:rsid w:val="30944267"/>
    <w:rsid w:val="31752E4D"/>
    <w:rsid w:val="32A759F3"/>
    <w:rsid w:val="33E35B95"/>
    <w:rsid w:val="34243802"/>
    <w:rsid w:val="348B567A"/>
    <w:rsid w:val="34C41D8A"/>
    <w:rsid w:val="3664336C"/>
    <w:rsid w:val="36657AD7"/>
    <w:rsid w:val="36DC3F1E"/>
    <w:rsid w:val="37321B4E"/>
    <w:rsid w:val="37E0408E"/>
    <w:rsid w:val="384F2405"/>
    <w:rsid w:val="38544A02"/>
    <w:rsid w:val="3AC94E4D"/>
    <w:rsid w:val="3B2A1FFC"/>
    <w:rsid w:val="3BB32189"/>
    <w:rsid w:val="3C322F73"/>
    <w:rsid w:val="3CAE7382"/>
    <w:rsid w:val="3CBB3FD0"/>
    <w:rsid w:val="3D924E50"/>
    <w:rsid w:val="3E0C1DEE"/>
    <w:rsid w:val="3EBF7D89"/>
    <w:rsid w:val="3F320ADA"/>
    <w:rsid w:val="40410C71"/>
    <w:rsid w:val="40641F26"/>
    <w:rsid w:val="406B7C25"/>
    <w:rsid w:val="41143098"/>
    <w:rsid w:val="41770D1F"/>
    <w:rsid w:val="420C2899"/>
    <w:rsid w:val="432A674E"/>
    <w:rsid w:val="436D6006"/>
    <w:rsid w:val="453F61B2"/>
    <w:rsid w:val="461A60FE"/>
    <w:rsid w:val="46A47C03"/>
    <w:rsid w:val="470656AA"/>
    <w:rsid w:val="49D861A9"/>
    <w:rsid w:val="4A650F9C"/>
    <w:rsid w:val="4C144BF7"/>
    <w:rsid w:val="4D48462C"/>
    <w:rsid w:val="4D53269F"/>
    <w:rsid w:val="4D9E1705"/>
    <w:rsid w:val="4DC74482"/>
    <w:rsid w:val="4FC64531"/>
    <w:rsid w:val="50AE14AA"/>
    <w:rsid w:val="517972C1"/>
    <w:rsid w:val="51B422A0"/>
    <w:rsid w:val="51D96160"/>
    <w:rsid w:val="55B4367E"/>
    <w:rsid w:val="561D19DF"/>
    <w:rsid w:val="562016BC"/>
    <w:rsid w:val="56694B42"/>
    <w:rsid w:val="56781A8E"/>
    <w:rsid w:val="573F5A2A"/>
    <w:rsid w:val="579B1375"/>
    <w:rsid w:val="59526A20"/>
    <w:rsid w:val="597518A3"/>
    <w:rsid w:val="5A0A2AC3"/>
    <w:rsid w:val="5A2669CA"/>
    <w:rsid w:val="5B6675FA"/>
    <w:rsid w:val="5BCD3B74"/>
    <w:rsid w:val="5C776A62"/>
    <w:rsid w:val="5CB67F6A"/>
    <w:rsid w:val="5CC23FE3"/>
    <w:rsid w:val="5E806EE0"/>
    <w:rsid w:val="5FED28BF"/>
    <w:rsid w:val="604D7A4F"/>
    <w:rsid w:val="62772DA0"/>
    <w:rsid w:val="629D7845"/>
    <w:rsid w:val="63A5738E"/>
    <w:rsid w:val="63B73291"/>
    <w:rsid w:val="64BA42BC"/>
    <w:rsid w:val="685456D9"/>
    <w:rsid w:val="68FE5017"/>
    <w:rsid w:val="693D3BA7"/>
    <w:rsid w:val="6ADF4048"/>
    <w:rsid w:val="6BAB719E"/>
    <w:rsid w:val="6BBD79A5"/>
    <w:rsid w:val="6BCE69E9"/>
    <w:rsid w:val="6DC557E0"/>
    <w:rsid w:val="6E773C97"/>
    <w:rsid w:val="6F763185"/>
    <w:rsid w:val="6F8B5E21"/>
    <w:rsid w:val="6FE03FA5"/>
    <w:rsid w:val="70162DF4"/>
    <w:rsid w:val="70FD057C"/>
    <w:rsid w:val="71D8791D"/>
    <w:rsid w:val="721B7640"/>
    <w:rsid w:val="741B2627"/>
    <w:rsid w:val="74C8662B"/>
    <w:rsid w:val="74CC3216"/>
    <w:rsid w:val="75852AD2"/>
    <w:rsid w:val="75B57076"/>
    <w:rsid w:val="773B142A"/>
    <w:rsid w:val="77E77217"/>
    <w:rsid w:val="789611F7"/>
    <w:rsid w:val="78CC7108"/>
    <w:rsid w:val="7A533772"/>
    <w:rsid w:val="7A554D40"/>
    <w:rsid w:val="7CB56E62"/>
    <w:rsid w:val="7D360A94"/>
    <w:rsid w:val="7DE02261"/>
    <w:rsid w:val="7FF1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before="260" w:after="260" w:line="415" w:lineRule="auto"/>
      <w:outlineLvl w:val="1"/>
    </w:pPr>
    <w:rPr>
      <w:rFonts w:ascii="Cambria" w:hAnsi="Cambria" w:cs="Cambria"/>
      <w:b/>
      <w:bCs/>
      <w:sz w:val="32"/>
      <w:szCs w:val="32"/>
    </w:rPr>
  </w:style>
  <w:style w:type="paragraph" w:styleId="6">
    <w:name w:val="heading 6"/>
    <w:basedOn w:val="1"/>
    <w:next w:val="1"/>
    <w:qFormat/>
    <w:uiPriority w:val="0"/>
    <w:pPr>
      <w:keepNext/>
      <w:keepLines/>
      <w:spacing w:before="240" w:after="64" w:line="312" w:lineRule="auto"/>
      <w:outlineLvl w:val="5"/>
    </w:pPr>
    <w:rPr>
      <w:rFonts w:ascii="Arial" w:hAnsi="Arial" w:eastAsia="黑体"/>
      <w:b/>
      <w:sz w:val="24"/>
    </w:rPr>
  </w:style>
  <w:style w:type="character" w:default="1" w:styleId="22">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w:basedOn w:val="1"/>
    <w:next w:val="1"/>
    <w:qFormat/>
    <w:uiPriority w:val="0"/>
    <w:pPr>
      <w:spacing w:after="120"/>
    </w:pPr>
    <w:rPr>
      <w:sz w:val="28"/>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List Bullet 3"/>
    <w:basedOn w:val="1"/>
    <w:qFormat/>
    <w:uiPriority w:val="0"/>
    <w:pPr>
      <w:ind w:hanging="200"/>
    </w:pPr>
    <w:rPr>
      <w:sz w:val="28"/>
    </w:rPr>
  </w:style>
  <w:style w:type="paragraph" w:styleId="9">
    <w:name w:val="Body Text Indent"/>
    <w:basedOn w:val="1"/>
    <w:next w:val="2"/>
    <w:qFormat/>
    <w:uiPriority w:val="0"/>
    <w:pPr>
      <w:spacing w:line="200" w:lineRule="exact"/>
      <w:ind w:firstLine="301"/>
    </w:pPr>
    <w:rPr>
      <w:rFonts w:ascii="宋体" w:hAnsi="宋体" w:cs="Courier New"/>
      <w:spacing w:val="-4"/>
      <w:sz w:val="18"/>
      <w:szCs w:val="20"/>
    </w:rPr>
  </w:style>
  <w:style w:type="paragraph" w:styleId="10">
    <w:name w:val="Plain Text"/>
    <w:basedOn w:val="1"/>
    <w:next w:val="1"/>
    <w:qFormat/>
    <w:uiPriority w:val="0"/>
    <w:pPr>
      <w:spacing w:before="156" w:beforeLines="50" w:after="156" w:afterLines="50" w:line="400" w:lineRule="exact"/>
    </w:pPr>
    <w:rPr>
      <w:rFonts w:ascii="宋体" w:hAnsi="Courier New"/>
      <w:sz w:val="24"/>
    </w:rPr>
  </w:style>
  <w:style w:type="paragraph" w:styleId="11">
    <w:name w:val="Date"/>
    <w:basedOn w:val="1"/>
    <w:next w:val="1"/>
    <w:qFormat/>
    <w:uiPriority w:val="0"/>
    <w:pPr>
      <w:ind w:left="2500" w:leftChars="2500"/>
    </w:pPr>
    <w:rPr>
      <w:rFonts w:eastAsia="楷体_GB2312"/>
      <w:sz w:val="32"/>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style>
  <w:style w:type="paragraph" w:styleId="15">
    <w:name w:val="footnote text"/>
    <w:basedOn w:val="1"/>
    <w:qFormat/>
    <w:uiPriority w:val="0"/>
    <w:pPr>
      <w:jc w:val="left"/>
    </w:pPr>
    <w:rPr>
      <w:kern w:val="1"/>
      <w:sz w:val="18"/>
    </w:rPr>
  </w:style>
  <w:style w:type="paragraph" w:styleId="16">
    <w:name w:val="toc 6"/>
    <w:basedOn w:val="1"/>
    <w:next w:val="1"/>
    <w:qFormat/>
    <w:uiPriority w:val="0"/>
    <w:pPr>
      <w:ind w:left="2100"/>
    </w:pPr>
  </w:style>
  <w:style w:type="paragraph" w:styleId="17">
    <w:name w:val="toc 2"/>
    <w:basedOn w:val="1"/>
    <w:next w:val="1"/>
    <w:qFormat/>
    <w:uiPriority w:val="0"/>
    <w:pPr>
      <w:ind w:left="420"/>
    </w:pPr>
  </w:style>
  <w:style w:type="paragraph" w:styleId="18">
    <w:name w:val="Normal (Web)"/>
    <w:basedOn w:val="1"/>
    <w:qFormat/>
    <w:uiPriority w:val="0"/>
    <w:pPr>
      <w:spacing w:after="150"/>
      <w:jc w:val="left"/>
    </w:pPr>
    <w:rPr>
      <w:kern w:val="0"/>
      <w:sz w:val="24"/>
    </w:rPr>
  </w:style>
  <w:style w:type="paragraph" w:styleId="19">
    <w:name w:val="Body Text First Indent"/>
    <w:basedOn w:val="1"/>
    <w:next w:val="1"/>
    <w:qFormat/>
    <w:uiPriority w:val="0"/>
    <w:pPr>
      <w:ind w:firstLine="420" w:firstLineChars="100"/>
    </w:pPr>
  </w:style>
  <w:style w:type="paragraph" w:styleId="20">
    <w:name w:val="Body Text First Indent 2"/>
    <w:basedOn w:val="9"/>
    <w:qFormat/>
    <w:uiPriority w:val="99"/>
    <w:pPr>
      <w:spacing w:after="120" w:line="240" w:lineRule="auto"/>
      <w:ind w:left="420" w:leftChars="200" w:firstLine="420" w:firstLineChars="200"/>
    </w:pPr>
    <w:rPr>
      <w:sz w:val="21"/>
      <w:szCs w:val="24"/>
    </w:rPr>
  </w:style>
  <w:style w:type="character" w:styleId="23">
    <w:name w:val="Strong"/>
    <w:basedOn w:val="22"/>
    <w:qFormat/>
    <w:uiPriority w:val="0"/>
    <w:rPr>
      <w:b/>
      <w:bCs/>
    </w:rPr>
  </w:style>
  <w:style w:type="character" w:styleId="24">
    <w:name w:val="page number"/>
    <w:qFormat/>
    <w:uiPriority w:val="0"/>
  </w:style>
  <w:style w:type="character" w:styleId="25">
    <w:name w:val="FollowedHyperlink"/>
    <w:basedOn w:val="22"/>
    <w:qFormat/>
    <w:uiPriority w:val="0"/>
    <w:rPr>
      <w:color w:val="222222"/>
      <w:u w:val="none"/>
    </w:rPr>
  </w:style>
  <w:style w:type="character" w:styleId="26">
    <w:name w:val="HTML Definition"/>
    <w:basedOn w:val="22"/>
    <w:qFormat/>
    <w:uiPriority w:val="0"/>
    <w:rPr>
      <w:i/>
      <w:iCs/>
    </w:rPr>
  </w:style>
  <w:style w:type="character" w:styleId="27">
    <w:name w:val="Hyperlink"/>
    <w:basedOn w:val="22"/>
    <w:qFormat/>
    <w:uiPriority w:val="0"/>
    <w:rPr>
      <w:color w:val="222222"/>
      <w:u w:val="none"/>
    </w:rPr>
  </w:style>
  <w:style w:type="character" w:styleId="28">
    <w:name w:val="HTML Code"/>
    <w:basedOn w:val="22"/>
    <w:qFormat/>
    <w:uiPriority w:val="0"/>
    <w:rPr>
      <w:rFonts w:hint="default" w:ascii="Consolas" w:hAnsi="Consolas" w:eastAsia="Consolas" w:cs="Consolas"/>
      <w:color w:val="C7254E"/>
      <w:sz w:val="21"/>
      <w:szCs w:val="21"/>
      <w:shd w:val="clear" w:color="auto" w:fill="F9F2F4"/>
    </w:rPr>
  </w:style>
  <w:style w:type="character" w:styleId="29">
    <w:name w:val="HTML Keyboard"/>
    <w:basedOn w:val="22"/>
    <w:qFormat/>
    <w:uiPriority w:val="0"/>
    <w:rPr>
      <w:rFonts w:ascii="Consolas" w:hAnsi="Consolas" w:eastAsia="Consolas" w:cs="Consolas"/>
      <w:color w:val="FFFFFF"/>
      <w:sz w:val="21"/>
      <w:szCs w:val="21"/>
      <w:shd w:val="clear" w:color="auto" w:fill="333333"/>
    </w:rPr>
  </w:style>
  <w:style w:type="character" w:styleId="30">
    <w:name w:val="HTML Sample"/>
    <w:basedOn w:val="22"/>
    <w:qFormat/>
    <w:uiPriority w:val="0"/>
    <w:rPr>
      <w:rFonts w:hint="default" w:ascii="Consolas" w:hAnsi="Consolas" w:eastAsia="Consolas" w:cs="Consolas"/>
      <w:sz w:val="21"/>
      <w:szCs w:val="21"/>
    </w:rPr>
  </w:style>
  <w:style w:type="paragraph" w:customStyle="1" w:styleId="31">
    <w:name w:val="样式 表格正文 + 两端对齐"/>
    <w:basedOn w:val="1"/>
    <w:next w:val="32"/>
    <w:qFormat/>
    <w:uiPriority w:val="0"/>
    <w:pPr>
      <w:spacing w:line="300" w:lineRule="auto"/>
    </w:pPr>
  </w:style>
  <w:style w:type="paragraph" w:customStyle="1" w:styleId="32">
    <w:name w:val="正文1"/>
    <w:basedOn w:val="1"/>
    <w:qFormat/>
    <w:uiPriority w:val="99"/>
    <w:pPr>
      <w:widowControl/>
      <w:overflowPunct w:val="0"/>
      <w:autoSpaceDE w:val="0"/>
      <w:autoSpaceDN w:val="0"/>
      <w:adjustRightInd w:val="0"/>
      <w:spacing w:line="400" w:lineRule="exact"/>
      <w:textAlignment w:val="baseline"/>
    </w:pPr>
    <w:rPr>
      <w:kern w:val="0"/>
      <w:sz w:val="24"/>
      <w:szCs w:val="20"/>
    </w:rPr>
  </w:style>
  <w:style w:type="paragraph" w:customStyle="1" w:styleId="33">
    <w:name w:val="正文首行缩进2字符"/>
    <w:basedOn w:val="1"/>
    <w:qFormat/>
    <w:uiPriority w:val="99"/>
    <w:pPr>
      <w:spacing w:line="360" w:lineRule="auto"/>
      <w:ind w:firstLine="200" w:firstLineChars="200"/>
    </w:pPr>
    <w:rPr>
      <w:rFonts w:ascii="Calibri" w:hAnsi="Calibri" w:eastAsia="仿宋_GB2312"/>
      <w:kern w:val="0"/>
      <w:sz w:val="28"/>
      <w:szCs w:val="21"/>
    </w:rPr>
  </w:style>
  <w:style w:type="paragraph" w:customStyle="1" w:styleId="34">
    <w:name w:val="章正文"/>
    <w:basedOn w:val="1"/>
    <w:qFormat/>
    <w:uiPriority w:val="0"/>
    <w:pPr>
      <w:spacing w:after="120" w:line="300" w:lineRule="auto"/>
      <w:ind w:firstLine="480"/>
    </w:pPr>
    <w:rPr>
      <w:rFonts w:ascii="Helvetica;Arial" w:hAnsi="Helvetica;Arial" w:cs="Helvetica;Arial"/>
      <w:kern w:val="0"/>
    </w:rPr>
  </w:style>
  <w:style w:type="paragraph" w:customStyle="1" w:styleId="35">
    <w:name w:val="正文首行缩进 21"/>
    <w:basedOn w:val="9"/>
    <w:qFormat/>
    <w:uiPriority w:val="0"/>
    <w:pPr>
      <w:spacing w:after="120" w:line="240" w:lineRule="auto"/>
      <w:ind w:left="420" w:firstLine="420"/>
    </w:pPr>
    <w:rPr>
      <w:sz w:val="21"/>
      <w:szCs w:val="24"/>
    </w:rPr>
  </w:style>
  <w:style w:type="paragraph" w:customStyle="1" w:styleId="36">
    <w:name w:val="正文首行缩进1"/>
    <w:basedOn w:val="3"/>
    <w:next w:val="16"/>
    <w:qFormat/>
    <w:uiPriority w:val="0"/>
    <w:pPr>
      <w:ind w:firstLine="420"/>
    </w:pPr>
    <w:rPr>
      <w:rFonts w:ascii="Arial" w:hAnsi="Arial" w:cs="Arial"/>
    </w:rPr>
  </w:style>
  <w:style w:type="character" w:customStyle="1" w:styleId="37">
    <w:name w:val="标题 2 Char1"/>
    <w:qFormat/>
    <w:uiPriority w:val="0"/>
    <w:rPr>
      <w:rFonts w:ascii="Arial" w:hAnsi="Arial" w:eastAsia="宋体" w:cs="Times New Roman"/>
      <w:b/>
      <w:bCs/>
      <w:sz w:val="28"/>
      <w:szCs w:val="32"/>
    </w:rPr>
  </w:style>
  <w:style w:type="character" w:customStyle="1" w:styleId="38">
    <w:name w:val="页码1"/>
    <w:qFormat/>
    <w:uiPriority w:val="0"/>
  </w:style>
  <w:style w:type="character" w:customStyle="1" w:styleId="39">
    <w:name w:val="标题 2 字符"/>
    <w:qFormat/>
    <w:uiPriority w:val="0"/>
    <w:rPr>
      <w:rFonts w:ascii="Cambria" w:hAnsi="Cambria" w:eastAsia="宋体" w:cs="Times New Roman"/>
      <w:b/>
      <w:bCs/>
      <w:kern w:val="2"/>
      <w:sz w:val="32"/>
      <w:szCs w:val="32"/>
    </w:rPr>
  </w:style>
  <w:style w:type="character" w:customStyle="1" w:styleId="40">
    <w:name w:val="font11"/>
    <w:qFormat/>
    <w:uiPriority w:val="0"/>
    <w:rPr>
      <w:rFonts w:ascii="Times New Roman" w:hAnsi="Times New Roman" w:cs="Times New Roman"/>
      <w:color w:val="000000"/>
      <w:sz w:val="24"/>
      <w:szCs w:val="24"/>
      <w:u w:val="none"/>
    </w:rPr>
  </w:style>
  <w:style w:type="character" w:customStyle="1" w:styleId="41">
    <w:name w:val="font31"/>
    <w:qFormat/>
    <w:uiPriority w:val="0"/>
    <w:rPr>
      <w:rFonts w:ascii="宋体" w:hAnsi="宋体" w:eastAsia="宋体" w:cs="宋体"/>
      <w:color w:val="000000"/>
      <w:sz w:val="24"/>
      <w:szCs w:val="24"/>
      <w:u w:val="none"/>
      <w:vertAlign w:val="superscript"/>
    </w:rPr>
  </w:style>
  <w:style w:type="character" w:customStyle="1" w:styleId="42">
    <w:name w:val="NormalCharacter"/>
    <w:qFormat/>
    <w:uiPriority w:val="0"/>
  </w:style>
  <w:style w:type="paragraph" w:customStyle="1" w:styleId="43">
    <w:name w:val="列表编号1"/>
    <w:basedOn w:val="1"/>
    <w:qFormat/>
    <w:uiPriority w:val="0"/>
    <w:pPr>
      <w:widowControl/>
      <w:numPr>
        <w:ilvl w:val="0"/>
        <w:numId w:val="2"/>
      </w:numPr>
      <w:tabs>
        <w:tab w:val="left" w:pos="454"/>
        <w:tab w:val="left" w:pos="720"/>
      </w:tabs>
      <w:spacing w:after="156"/>
      <w:ind w:left="1354" w:hanging="284"/>
      <w:jc w:val="left"/>
    </w:pPr>
    <w:rPr>
      <w:kern w:val="0"/>
      <w:sz w:val="24"/>
      <w:szCs w:val="20"/>
    </w:rPr>
  </w:style>
  <w:style w:type="paragraph" w:customStyle="1" w:styleId="44">
    <w:name w:val="纯文本1"/>
    <w:basedOn w:val="1"/>
    <w:next w:val="1"/>
    <w:qFormat/>
    <w:uiPriority w:val="0"/>
    <w:pPr>
      <w:spacing w:before="156" w:after="156" w:line="400" w:lineRule="exact"/>
    </w:pPr>
    <w:rPr>
      <w:rFonts w:ascii="宋体" w:hAnsi="宋体" w:cs="Courier New"/>
      <w:sz w:val="24"/>
    </w:rPr>
  </w:style>
  <w:style w:type="paragraph" w:customStyle="1" w:styleId="45">
    <w:name w:val="正文文本缩进 31"/>
    <w:basedOn w:val="1"/>
    <w:qFormat/>
    <w:uiPriority w:val="0"/>
    <w:pPr>
      <w:snapToGrid w:val="0"/>
      <w:ind w:firstLine="480"/>
      <w:jc w:val="left"/>
    </w:pPr>
    <w:rPr>
      <w:rFonts w:ascii="仿宋_GB2312;仿宋" w:hAnsi="仿宋_GB2312;仿宋" w:eastAsia="仿宋_GB2312;仿宋" w:cs="宋体"/>
      <w:color w:val="000000"/>
      <w:sz w:val="24"/>
    </w:rPr>
  </w:style>
  <w:style w:type="paragraph" w:customStyle="1" w:styleId="46">
    <w:name w:val="默认段落字体 Para Char Char Char Char Char Char Char Char Char1 Char Char Char Char"/>
    <w:basedOn w:val="1"/>
    <w:qFormat/>
    <w:uiPriority w:val="0"/>
    <w:rPr>
      <w:rFonts w:ascii="Tahoma" w:hAnsi="Tahoma" w:cs="Tahoma"/>
      <w:sz w:val="24"/>
      <w:szCs w:val="20"/>
    </w:rPr>
  </w:style>
  <w:style w:type="paragraph" w:styleId="47">
    <w:name w:val="List Paragraph"/>
    <w:basedOn w:val="1"/>
    <w:qFormat/>
    <w:uiPriority w:val="99"/>
    <w:pPr>
      <w:ind w:firstLine="420" w:firstLineChars="200"/>
    </w:pPr>
  </w:style>
  <w:style w:type="character" w:customStyle="1" w:styleId="48">
    <w:name w:val="font41"/>
    <w:basedOn w:val="22"/>
    <w:qFormat/>
    <w:uiPriority w:val="0"/>
    <w:rPr>
      <w:rFonts w:ascii="Tahoma" w:hAnsi="Tahoma" w:eastAsia="Tahoma" w:cs="Tahoma"/>
      <w:color w:val="000000"/>
      <w:sz w:val="18"/>
      <w:szCs w:val="18"/>
      <w:u w:val="none"/>
    </w:rPr>
  </w:style>
  <w:style w:type="character" w:customStyle="1" w:styleId="49">
    <w:name w:val="font51"/>
    <w:qFormat/>
    <w:uiPriority w:val="0"/>
    <w:rPr>
      <w:rFonts w:hint="eastAsia" w:ascii="宋体" w:hAnsi="宋体" w:eastAsia="宋体" w:cs="宋体"/>
      <w:color w:val="000000"/>
      <w:sz w:val="20"/>
      <w:szCs w:val="20"/>
      <w:u w:val="none"/>
    </w:rPr>
  </w:style>
  <w:style w:type="character" w:customStyle="1" w:styleId="50">
    <w:name w:val="font61"/>
    <w:qFormat/>
    <w:uiPriority w:val="0"/>
    <w:rPr>
      <w:rFonts w:hint="eastAsia" w:ascii="宋体" w:hAnsi="宋体" w:eastAsia="宋体" w:cs="宋体"/>
      <w:color w:val="000000"/>
      <w:sz w:val="20"/>
      <w:szCs w:val="20"/>
      <w:u w:val="none"/>
    </w:rPr>
  </w:style>
  <w:style w:type="character" w:customStyle="1" w:styleId="51">
    <w:name w:val="font01"/>
    <w:basedOn w:val="22"/>
    <w:qFormat/>
    <w:uiPriority w:val="0"/>
    <w:rPr>
      <w:rFonts w:hint="eastAsia" w:ascii="微软雅黑" w:hAnsi="微软雅黑" w:eastAsia="微软雅黑" w:cs="微软雅黑"/>
      <w:color w:val="000000"/>
      <w:sz w:val="18"/>
      <w:szCs w:val="18"/>
      <w:u w:val="none"/>
    </w:rPr>
  </w:style>
  <w:style w:type="paragraph" w:customStyle="1" w:styleId="52">
    <w:name w:val="内文正文"/>
    <w:qFormat/>
    <w:uiPriority w:val="0"/>
    <w:pPr>
      <w:adjustRightInd w:val="0"/>
      <w:snapToGrid w:val="0"/>
      <w:spacing w:line="400" w:lineRule="exact"/>
      <w:ind w:firstLine="200" w:firstLineChars="200"/>
    </w:pPr>
    <w:rPr>
      <w:rFonts w:ascii="Arial" w:hAnsi="Arial" w:eastAsia="宋体" w:cs="Times New Roman"/>
      <w:color w:val="000000"/>
      <w:kern w:val="2"/>
      <w:sz w:val="21"/>
      <w:szCs w:val="21"/>
      <w:lang w:val="en-US" w:eastAsia="zh-CN" w:bidi="ar-SA"/>
    </w:rPr>
  </w:style>
  <w:style w:type="paragraph" w:customStyle="1" w:styleId="53">
    <w:name w:val="表格文字"/>
    <w:next w:val="3"/>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54">
    <w:name w:val="font21"/>
    <w:basedOn w:val="22"/>
    <w:qFormat/>
    <w:uiPriority w:val="0"/>
    <w:rPr>
      <w:rFonts w:hint="eastAsia" w:ascii="微软雅黑" w:hAnsi="微软雅黑" w:eastAsia="微软雅黑" w:cs="微软雅黑"/>
      <w:color w:val="000000"/>
      <w:sz w:val="18"/>
      <w:szCs w:val="18"/>
      <w:u w:val="none"/>
    </w:rPr>
  </w:style>
  <w:style w:type="paragraph" w:customStyle="1" w:styleId="55">
    <w:name w:val="正文2"/>
    <w:basedOn w:val="1"/>
    <w:qFormat/>
    <w:uiPriority w:val="0"/>
    <w:pPr>
      <w:spacing w:before="156" w:line="360" w:lineRule="auto"/>
      <w:ind w:firstLine="510" w:firstLineChars="200"/>
    </w:pPr>
    <w:rPr>
      <w:sz w:val="24"/>
      <w:szCs w:val="20"/>
    </w:rPr>
  </w:style>
  <w:style w:type="character" w:customStyle="1" w:styleId="56">
    <w:name w:val="first-child"/>
    <w:basedOn w:val="22"/>
    <w:qFormat/>
    <w:uiPriority w:val="0"/>
  </w:style>
  <w:style w:type="character" w:customStyle="1" w:styleId="57">
    <w:name w:val="layui-this"/>
    <w:basedOn w:val="22"/>
    <w:qFormat/>
    <w:uiPriority w:val="0"/>
    <w:rPr>
      <w:bdr w:val="single" w:color="EEEEEE" w:sz="6" w:space="0"/>
      <w:shd w:val="clear" w:color="auto" w:fill="FFFFFF"/>
    </w:rPr>
  </w:style>
  <w:style w:type="character" w:customStyle="1" w:styleId="58">
    <w:name w:val="hover11"/>
    <w:basedOn w:val="22"/>
    <w:qFormat/>
    <w:uiPriority w:val="0"/>
    <w:rPr>
      <w:color w:val="1258AD"/>
      <w:u w:val="none"/>
      <w:bdr w:val="single" w:color="1258AD" w:sz="6" w:space="0"/>
    </w:rPr>
  </w:style>
  <w:style w:type="character" w:customStyle="1" w:styleId="59">
    <w:name w:val="font91"/>
    <w:qFormat/>
    <w:uiPriority w:val="0"/>
    <w:rPr>
      <w:rFonts w:hint="eastAsia" w:ascii="宋体" w:hAnsi="宋体" w:eastAsia="宋体" w:cs="宋体"/>
      <w:color w:val="000000"/>
      <w:sz w:val="24"/>
      <w:szCs w:val="24"/>
      <w:u w:val="none"/>
    </w:rPr>
  </w:style>
  <w:style w:type="paragraph" w:customStyle="1" w:styleId="60">
    <w:name w:val="样式 正文文本缩进 + 左  0 字符"/>
    <w:basedOn w:val="9"/>
    <w:qFormat/>
    <w:uiPriority w:val="99"/>
    <w:pPr>
      <w:spacing w:line="360" w:lineRule="auto"/>
      <w:ind w:firstLine="250" w:firstLineChars="25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2260</Words>
  <Characters>12884</Characters>
  <Lines>107</Lines>
  <Paragraphs>30</Paragraphs>
  <TotalTime>4</TotalTime>
  <ScaleCrop>false</ScaleCrop>
  <LinksUpToDate>false</LinksUpToDate>
  <CharactersWithSpaces>15114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2021-07-13T16:56:00Z</dcterms:created>
  <dc:creator>vilibook</dc:creator>
  <cp:lastModifiedBy>朱俊芬</cp:lastModifiedBy>
  <cp:lastPrinted>2021-09-27T09:31:00Z</cp:lastPrinted>
  <dcterms:modified xsi:type="dcterms:W3CDTF">2021-09-28T00:36:51Z</dcterms:modified>
  <dc:title>浙江泰宁建设工程管理咨询有限公司</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DCBBB247EB824ECD8F05F0031034B562</vt:lpwstr>
  </property>
  <property fmtid="{D5CDD505-2E9C-101B-9397-08002B2CF9AE}" pid="3" name="KSOProductBuildVer">
    <vt:lpwstr>2052-11.1.0.10700</vt:lpwstr>
  </property>
</Properties>
</file>