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rPr>
          <w:color w:val="000000" w:themeColor="text1"/>
          <w14:textFill>
            <w14:solidFill>
              <w14:schemeClr w14:val="tx1"/>
            </w14:solidFill>
          </w14:textFill>
        </w:rPr>
      </w:pPr>
    </w:p>
    <w:p>
      <w:pPr>
        <w:pStyle w:val="20"/>
        <w:ind w:firstLine="0" w:firstLineChars="0"/>
        <w:jc w:val="center"/>
        <w:rPr>
          <w:b/>
          <w:bCs/>
          <w:color w:val="000000" w:themeColor="text1"/>
          <w:sz w:val="36"/>
          <w:szCs w:val="44"/>
          <w14:textFill>
            <w14:solidFill>
              <w14:schemeClr w14:val="tx1"/>
            </w14:solidFill>
          </w14:textFill>
        </w:rPr>
      </w:pPr>
      <w:r>
        <w:rPr>
          <w:rFonts w:hint="eastAsia"/>
          <w:b/>
          <w:bCs/>
          <w:color w:val="000000" w:themeColor="text1"/>
          <w:sz w:val="52"/>
          <w:szCs w:val="52"/>
          <w14:textFill>
            <w14:solidFill>
              <w14:schemeClr w14:val="tx1"/>
            </w14:solidFill>
          </w14:textFill>
        </w:rPr>
        <w:t>浙江广厦建设职业技术大学</w:t>
      </w:r>
    </w:p>
    <w:p>
      <w:pPr>
        <w:pStyle w:val="20"/>
        <w:ind w:firstLine="0" w:firstLineChars="0"/>
        <w:jc w:val="center"/>
        <w:rPr>
          <w:b/>
          <w:bCs/>
          <w:color w:val="000000" w:themeColor="text1"/>
          <w:sz w:val="36"/>
          <w:szCs w:val="44"/>
          <w14:textFill>
            <w14:solidFill>
              <w14:schemeClr w14:val="tx1"/>
            </w14:solidFill>
          </w14:textFill>
        </w:rPr>
      </w:pPr>
    </w:p>
    <w:p/>
    <w:p>
      <w:pPr>
        <w:pStyle w:val="20"/>
        <w:ind w:firstLine="0" w:firstLineChars="0"/>
        <w:jc w:val="center"/>
        <w:rPr>
          <w:rFonts w:hint="eastAsia" w:eastAsia="宋体"/>
          <w:b/>
          <w:bCs/>
          <w:color w:val="000000" w:themeColor="text1"/>
          <w:sz w:val="36"/>
          <w:szCs w:val="44"/>
          <w:lang w:eastAsia="zh-CN"/>
          <w14:textFill>
            <w14:solidFill>
              <w14:schemeClr w14:val="tx1"/>
            </w14:solidFill>
          </w14:textFill>
        </w:rPr>
      </w:pPr>
      <w:r>
        <w:rPr>
          <w:rFonts w:hint="eastAsia"/>
          <w:b/>
          <w:bCs/>
          <w:color w:val="000000" w:themeColor="text1"/>
          <w:sz w:val="52"/>
          <w:szCs w:val="52"/>
          <w:lang w:eastAsia="zh-CN"/>
          <w14:textFill>
            <w14:solidFill>
              <w14:schemeClr w14:val="tx1"/>
            </w14:solidFill>
          </w14:textFill>
        </w:rPr>
        <w:t>高校智能服务终端（含嵌入式智能服务软件V8.0）</w:t>
      </w:r>
    </w:p>
    <w:p>
      <w:pPr>
        <w:pStyle w:val="17"/>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pStyle w:val="33"/>
        <w:ind w:left="0" w:firstLine="0"/>
        <w:rPr>
          <w:color w:val="000000" w:themeColor="text1"/>
          <w14:textFill>
            <w14:solidFill>
              <w14:schemeClr w14:val="tx1"/>
            </w14:solidFill>
          </w14:textFill>
        </w:rPr>
      </w:pPr>
    </w:p>
    <w:p>
      <w:pPr>
        <w:pStyle w:val="33"/>
        <w:ind w:left="0" w:firstLine="0"/>
        <w:rPr>
          <w:color w:val="000000" w:themeColor="text1"/>
          <w14:textFill>
            <w14:solidFill>
              <w14:schemeClr w14:val="tx1"/>
            </w14:solidFill>
          </w14:textFill>
        </w:rPr>
      </w:pPr>
    </w:p>
    <w:p>
      <w:pPr>
        <w:pStyle w:val="33"/>
        <w:ind w:left="0" w:firstLine="0"/>
        <w:rPr>
          <w:color w:val="000000" w:themeColor="text1"/>
          <w14:textFill>
            <w14:solidFill>
              <w14:schemeClr w14:val="tx1"/>
            </w14:solidFill>
          </w14:textFill>
        </w:rPr>
      </w:pPr>
    </w:p>
    <w:p>
      <w:pPr>
        <w:spacing w:before="156"/>
        <w:jc w:val="center"/>
        <w:rPr>
          <w:rFonts w:ascii="宋体" w:hAnsi="宋体" w:cs="宋体"/>
          <w:b/>
          <w:color w:val="000000" w:themeColor="text1"/>
          <w:sz w:val="72"/>
          <w:szCs w:val="72"/>
          <w14:textFill>
            <w14:solidFill>
              <w14:schemeClr w14:val="tx1"/>
            </w14:solidFill>
          </w14:textFill>
        </w:rPr>
      </w:pPr>
      <w:r>
        <w:rPr>
          <w:rFonts w:ascii="宋体" w:hAnsi="宋体" w:cs="宋体"/>
          <w:b/>
          <w:color w:val="000000" w:themeColor="text1"/>
          <w:sz w:val="72"/>
          <w:szCs w:val="72"/>
          <w14:textFill>
            <w14:solidFill>
              <w14:schemeClr w14:val="tx1"/>
            </w14:solidFill>
          </w14:textFill>
        </w:rPr>
        <w:t>单一来源</w:t>
      </w:r>
      <w:r>
        <w:rPr>
          <w:rFonts w:hint="eastAsia" w:ascii="宋体" w:hAnsi="宋体" w:cs="宋体"/>
          <w:b/>
          <w:color w:val="000000" w:themeColor="text1"/>
          <w:sz w:val="72"/>
          <w:szCs w:val="72"/>
          <w14:textFill>
            <w14:solidFill>
              <w14:schemeClr w14:val="tx1"/>
            </w14:solidFill>
          </w14:textFill>
        </w:rPr>
        <w:t>采购</w:t>
      </w:r>
      <w:r>
        <w:rPr>
          <w:rFonts w:ascii="宋体" w:hAnsi="宋体" w:cs="宋体"/>
          <w:b/>
          <w:color w:val="000000" w:themeColor="text1"/>
          <w:sz w:val="72"/>
          <w:szCs w:val="72"/>
          <w14:textFill>
            <w14:solidFill>
              <w14:schemeClr w14:val="tx1"/>
            </w14:solidFill>
          </w14:textFill>
        </w:rPr>
        <w:t>文件</w:t>
      </w:r>
    </w:p>
    <w:p>
      <w:pPr>
        <w:pStyle w:val="17"/>
        <w:rPr>
          <w:color w:val="000000" w:themeColor="text1"/>
          <w14:textFill>
            <w14:solidFill>
              <w14:schemeClr w14:val="tx1"/>
            </w14:solidFill>
          </w14:textFill>
        </w:rPr>
      </w:pPr>
    </w:p>
    <w:p>
      <w:pPr>
        <w:pStyle w:val="17"/>
        <w:ind w:left="0"/>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pStyle w:val="33"/>
        <w:ind w:left="0" w:firstLine="0"/>
        <w:rPr>
          <w:color w:val="000000" w:themeColor="text1"/>
          <w14:textFill>
            <w14:solidFill>
              <w14:schemeClr w14:val="tx1"/>
            </w14:solidFill>
          </w14:textFill>
        </w:rPr>
      </w:pPr>
    </w:p>
    <w:p>
      <w:pPr>
        <w:pStyle w:val="33"/>
        <w:ind w:left="0" w:firstLine="0"/>
        <w:rPr>
          <w:color w:val="000000" w:themeColor="text1"/>
          <w14:textFill>
            <w14:solidFill>
              <w14:schemeClr w14:val="tx1"/>
            </w14:solidFill>
          </w14:textFill>
        </w:rPr>
      </w:pPr>
    </w:p>
    <w:p>
      <w:pPr>
        <w:pStyle w:val="33"/>
        <w:ind w:left="0" w:firstLine="0"/>
        <w:rPr>
          <w:color w:val="000000" w:themeColor="text1"/>
          <w14:textFill>
            <w14:solidFill>
              <w14:schemeClr w14:val="tx1"/>
            </w14:solidFill>
          </w14:textFill>
        </w:rPr>
      </w:pPr>
    </w:p>
    <w:p>
      <w:pPr>
        <w:pStyle w:val="42"/>
        <w:snapToGrid w:val="0"/>
        <w:spacing w:before="50" w:line="560" w:lineRule="exact"/>
        <w:ind w:firstLine="602" w:firstLineChars="200"/>
        <w:rPr>
          <w:rFonts w:hint="eastAsia" w:eastAsia="宋体" w:cs="宋体"/>
          <w:b/>
          <w:bCs/>
          <w:color w:val="000000" w:themeColor="text1"/>
          <w:sz w:val="30"/>
          <w:szCs w:val="30"/>
          <w:lang w:eastAsia="zh-CN"/>
          <w14:textFill>
            <w14:solidFill>
              <w14:schemeClr w14:val="tx1"/>
            </w14:solidFill>
          </w14:textFill>
        </w:rPr>
      </w:pPr>
      <w:r>
        <w:rPr>
          <w:rFonts w:cs="宋体"/>
          <w:b/>
          <w:bCs/>
          <w:color w:val="000000" w:themeColor="text1"/>
          <w:sz w:val="30"/>
          <w:szCs w:val="30"/>
          <w14:textFill>
            <w14:solidFill>
              <w14:schemeClr w14:val="tx1"/>
            </w14:solidFill>
          </w14:textFill>
        </w:rPr>
        <w:t>项目编号：</w:t>
      </w:r>
      <w:r>
        <w:rPr>
          <w:rFonts w:hint="eastAsia" w:cs="宋体"/>
          <w:b/>
          <w:bCs/>
          <w:color w:val="000000" w:themeColor="text1"/>
          <w:sz w:val="30"/>
          <w:szCs w:val="30"/>
          <w:lang w:eastAsia="zh-CN"/>
          <w14:textFill>
            <w14:solidFill>
              <w14:schemeClr w14:val="tx1"/>
            </w14:solidFill>
          </w14:textFill>
        </w:rPr>
        <w:t>ZJGS2021-C017</w:t>
      </w:r>
    </w:p>
    <w:p>
      <w:pPr>
        <w:pStyle w:val="42"/>
        <w:snapToGrid w:val="0"/>
        <w:spacing w:before="50" w:line="560" w:lineRule="exact"/>
        <w:ind w:left="2107" w:leftChars="286" w:hanging="1506" w:hangingChars="500"/>
        <w:rPr>
          <w:rFonts w:hint="eastAsia" w:eastAsia="宋体" w:cs="宋体"/>
          <w:b/>
          <w:bCs/>
          <w:color w:val="000000" w:themeColor="text1"/>
          <w:sz w:val="30"/>
          <w:szCs w:val="30"/>
          <w:lang w:eastAsia="zh-CN"/>
          <w14:textFill>
            <w14:solidFill>
              <w14:schemeClr w14:val="tx1"/>
            </w14:solidFill>
          </w14:textFill>
        </w:rPr>
      </w:pPr>
      <w:r>
        <w:rPr>
          <w:rFonts w:cs="宋体"/>
          <w:b/>
          <w:bCs/>
          <w:color w:val="000000" w:themeColor="text1"/>
          <w:sz w:val="30"/>
          <w:szCs w:val="30"/>
          <w14:textFill>
            <w14:solidFill>
              <w14:schemeClr w14:val="tx1"/>
            </w14:solidFill>
          </w14:textFill>
        </w:rPr>
        <w:t>项目名称：</w:t>
      </w:r>
      <w:r>
        <w:rPr>
          <w:rFonts w:hint="eastAsia" w:cs="宋体"/>
          <w:b/>
          <w:bCs/>
          <w:color w:val="000000" w:themeColor="text1"/>
          <w:sz w:val="30"/>
          <w:szCs w:val="30"/>
          <w14:textFill>
            <w14:solidFill>
              <w14:schemeClr w14:val="tx1"/>
            </w14:solidFill>
          </w14:textFill>
        </w:rPr>
        <w:t>浙江广厦建设职业技术大学</w:t>
      </w:r>
      <w:r>
        <w:rPr>
          <w:rFonts w:hint="eastAsia" w:cs="宋体"/>
          <w:b/>
          <w:bCs/>
          <w:color w:val="000000" w:themeColor="text1"/>
          <w:sz w:val="30"/>
          <w:szCs w:val="30"/>
          <w:lang w:eastAsia="zh-CN"/>
          <w14:textFill>
            <w14:solidFill>
              <w14:schemeClr w14:val="tx1"/>
            </w14:solidFill>
          </w14:textFill>
        </w:rPr>
        <w:t>高校智能服务终端（含嵌入式智能服务软件V8.0）</w:t>
      </w:r>
    </w:p>
    <w:p>
      <w:pPr>
        <w:pStyle w:val="42"/>
        <w:snapToGrid w:val="0"/>
        <w:spacing w:before="50" w:line="560" w:lineRule="exact"/>
        <w:ind w:firstLine="602" w:firstLineChars="200"/>
        <w:rPr>
          <w:rFonts w:cs="宋体"/>
          <w:b/>
          <w:bCs/>
          <w:color w:val="000000" w:themeColor="text1"/>
          <w:sz w:val="30"/>
          <w:szCs w:val="30"/>
          <w14:textFill>
            <w14:solidFill>
              <w14:schemeClr w14:val="tx1"/>
            </w14:solidFill>
          </w14:textFill>
        </w:rPr>
      </w:pPr>
      <w:r>
        <w:rPr>
          <w:rFonts w:cs="宋体"/>
          <w:b/>
          <w:bCs/>
          <w:color w:val="000000" w:themeColor="text1"/>
          <w:sz w:val="30"/>
          <w:szCs w:val="30"/>
          <w14:textFill>
            <w14:solidFill>
              <w14:schemeClr w14:val="tx1"/>
            </w14:solidFill>
          </w14:textFill>
        </w:rPr>
        <w:t>采购单位：浙江广厦建设职业技术大学</w:t>
      </w:r>
    </w:p>
    <w:p>
      <w:pPr>
        <w:pStyle w:val="42"/>
        <w:snapToGrid w:val="0"/>
        <w:spacing w:before="50" w:line="560" w:lineRule="exact"/>
        <w:jc w:val="center"/>
        <w:rPr>
          <w:rFonts w:cs="宋体"/>
          <w:b/>
          <w:bCs/>
          <w:color w:val="000000" w:themeColor="text1"/>
          <w:sz w:val="30"/>
          <w:szCs w:val="30"/>
          <w14:textFill>
            <w14:solidFill>
              <w14:schemeClr w14:val="tx1"/>
            </w14:solidFill>
          </w14:textFill>
        </w:rPr>
      </w:pPr>
    </w:p>
    <w:p>
      <w:pPr>
        <w:pStyle w:val="42"/>
        <w:snapToGrid w:val="0"/>
        <w:spacing w:before="50" w:line="560" w:lineRule="exact"/>
        <w:jc w:val="center"/>
        <w:rPr>
          <w:rFonts w:cs="宋体"/>
          <w:b/>
          <w:bCs/>
          <w:color w:val="000000" w:themeColor="text1"/>
          <w:sz w:val="30"/>
          <w:szCs w:val="30"/>
          <w14:textFill>
            <w14:solidFill>
              <w14:schemeClr w14:val="tx1"/>
            </w14:solidFill>
          </w14:textFill>
        </w:rPr>
      </w:pPr>
      <w:r>
        <w:rPr>
          <w:rFonts w:hint="eastAsia" w:cs="宋体"/>
          <w:b/>
          <w:bCs/>
          <w:color w:val="000000" w:themeColor="text1"/>
          <w:sz w:val="30"/>
          <w:szCs w:val="30"/>
          <w14:textFill>
            <w14:solidFill>
              <w14:schemeClr w14:val="tx1"/>
            </w14:solidFill>
          </w14:textFill>
        </w:rPr>
        <w:t>2021年1</w:t>
      </w:r>
      <w:r>
        <w:rPr>
          <w:rFonts w:hint="eastAsia" w:cs="宋体"/>
          <w:b/>
          <w:bCs/>
          <w:color w:val="000000" w:themeColor="text1"/>
          <w:sz w:val="30"/>
          <w:szCs w:val="30"/>
          <w:lang w:val="en-US" w:eastAsia="zh-CN"/>
          <w14:textFill>
            <w14:solidFill>
              <w14:schemeClr w14:val="tx1"/>
            </w14:solidFill>
          </w14:textFill>
        </w:rPr>
        <w:t>1</w:t>
      </w:r>
      <w:r>
        <w:rPr>
          <w:rFonts w:hint="eastAsia" w:cs="宋体"/>
          <w:b/>
          <w:bCs/>
          <w:color w:val="000000" w:themeColor="text1"/>
          <w:sz w:val="30"/>
          <w:szCs w:val="30"/>
          <w14:textFill>
            <w14:solidFill>
              <w14:schemeClr w14:val="tx1"/>
            </w14:solidFill>
          </w14:textFill>
        </w:rPr>
        <w:t>月</w:t>
      </w:r>
      <w:r>
        <w:rPr>
          <w:rFonts w:hint="eastAsia" w:cs="宋体"/>
          <w:b/>
          <w:bCs/>
          <w:color w:val="000000" w:themeColor="text1"/>
          <w:sz w:val="30"/>
          <w:szCs w:val="30"/>
          <w:lang w:val="en-US" w:eastAsia="zh-CN"/>
          <w14:textFill>
            <w14:solidFill>
              <w14:schemeClr w14:val="tx1"/>
            </w14:solidFill>
          </w14:textFill>
        </w:rPr>
        <w:t>17</w:t>
      </w:r>
      <w:r>
        <w:rPr>
          <w:rFonts w:hint="eastAsia" w:cs="宋体"/>
          <w:b/>
          <w:bCs/>
          <w:color w:val="000000" w:themeColor="text1"/>
          <w:sz w:val="30"/>
          <w:szCs w:val="30"/>
          <w14:textFill>
            <w14:solidFill>
              <w14:schemeClr w14:val="tx1"/>
            </w14:solidFill>
          </w14:textFill>
        </w:rPr>
        <w:t>日</w:t>
      </w:r>
      <w:r>
        <w:rPr>
          <w:color w:val="000000" w:themeColor="text1"/>
          <w14:textFill>
            <w14:solidFill>
              <w14:schemeClr w14:val="tx1"/>
            </w14:solidFill>
          </w14:textFill>
        </w:rPr>
        <w:br w:type="page"/>
      </w:r>
    </w:p>
    <w:p>
      <w:pPr>
        <w:pStyle w:val="42"/>
        <w:snapToGrid w:val="0"/>
        <w:spacing w:line="360" w:lineRule="auto"/>
        <w:jc w:val="center"/>
        <w:rPr>
          <w:rFonts w:ascii="黑体" w:hAnsi="黑体" w:eastAsia="黑体" w:cs="宋体"/>
          <w:color w:val="000000" w:themeColor="text1"/>
          <w:sz w:val="44"/>
          <w:szCs w:val="48"/>
          <w:highlight w:val="red"/>
          <w14:textFill>
            <w14:solidFill>
              <w14:schemeClr w14:val="tx1"/>
            </w14:solidFill>
          </w14:textFill>
        </w:rPr>
      </w:pPr>
      <w:r>
        <w:rPr>
          <w:rFonts w:ascii="黑体" w:hAnsi="黑体" w:eastAsia="黑体" w:cs="宋体"/>
          <w:color w:val="000000" w:themeColor="text1"/>
          <w:sz w:val="44"/>
          <w:szCs w:val="48"/>
          <w14:textFill>
            <w14:solidFill>
              <w14:schemeClr w14:val="tx1"/>
            </w14:solidFill>
          </w14:textFill>
        </w:rPr>
        <w:t>目录</w:t>
      </w:r>
    </w:p>
    <w:p>
      <w:pPr>
        <w:pStyle w:val="15"/>
        <w:tabs>
          <w:tab w:val="right" w:leader="dot" w:pos="9070"/>
        </w:tabs>
        <w:rPr>
          <w:rFonts w:hint="eastAsia" w:ascii="宋体" w:hAnsi="宋体" w:eastAsia="宋体" w:cs="宋体"/>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TOC \o "1-2" \h \z \u</w:instrText>
      </w:r>
      <w:r>
        <w:rPr>
          <w:color w:val="000000" w:themeColor="text1"/>
          <w14:textFill>
            <w14:solidFill>
              <w14:schemeClr w14:val="tx1"/>
            </w14:solidFill>
          </w14:textFill>
        </w:rPr>
        <w:fldChar w:fldCharType="separate"/>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rPr>
        <w:instrText xml:space="preserve"> HYPERLINK \l _Toc29833 </w:instrText>
      </w:r>
      <w:r>
        <w:rPr>
          <w:rFonts w:hint="eastAsia" w:ascii="宋体" w:hAnsi="宋体" w:eastAsia="宋体" w:cs="宋体"/>
        </w:rPr>
        <w:fldChar w:fldCharType="separate"/>
      </w:r>
      <w:r>
        <w:rPr>
          <w:rFonts w:hint="eastAsia" w:ascii="宋体" w:hAnsi="宋体" w:eastAsia="宋体" w:cs="宋体"/>
        </w:rPr>
        <w:t xml:space="preserve">第一章  </w:t>
      </w:r>
      <w:r>
        <w:rPr>
          <w:rFonts w:hint="eastAsia" w:ascii="宋体" w:hAnsi="宋体" w:eastAsia="宋体" w:cs="宋体"/>
          <w:lang w:eastAsia="zh-CN"/>
        </w:rPr>
        <w:t>采购邀请书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_Toc29833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15"/>
        <w:tabs>
          <w:tab w:val="right" w:leader="dot" w:pos="9070"/>
        </w:tabs>
        <w:rPr>
          <w:rFonts w:hint="eastAsia" w:ascii="宋体" w:hAnsi="宋体" w:eastAsia="宋体" w:cs="宋体"/>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rPr>
        <w:instrText xml:space="preserve"> HYPERLINK \l _Toc15949 </w:instrText>
      </w:r>
      <w:r>
        <w:rPr>
          <w:rFonts w:hint="eastAsia" w:ascii="宋体" w:hAnsi="宋体" w:eastAsia="宋体" w:cs="宋体"/>
        </w:rPr>
        <w:fldChar w:fldCharType="separate"/>
      </w:r>
      <w:r>
        <w:rPr>
          <w:rFonts w:hint="eastAsia" w:ascii="宋体" w:hAnsi="宋体" w:eastAsia="宋体" w:cs="宋体"/>
          <w:szCs w:val="30"/>
        </w:rPr>
        <w:t>第二章  采购项目需求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_Toc15949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15"/>
        <w:tabs>
          <w:tab w:val="right" w:leader="dot" w:pos="9070"/>
        </w:tabs>
        <w:rPr>
          <w:rFonts w:hint="eastAsia" w:ascii="宋体" w:hAnsi="宋体" w:eastAsia="宋体" w:cs="宋体"/>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rPr>
        <w:instrText xml:space="preserve"> HYPERLINK \l _Toc11670 </w:instrText>
      </w:r>
      <w:r>
        <w:rPr>
          <w:rFonts w:hint="eastAsia" w:ascii="宋体" w:hAnsi="宋体" w:eastAsia="宋体" w:cs="宋体"/>
        </w:rPr>
        <w:fldChar w:fldCharType="separate"/>
      </w:r>
      <w:r>
        <w:rPr>
          <w:rFonts w:hint="eastAsia" w:ascii="宋体" w:hAnsi="宋体" w:eastAsia="宋体" w:cs="宋体"/>
          <w:szCs w:val="30"/>
        </w:rPr>
        <w:t>第三章  谈判响应方须知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_Toc11670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15"/>
        <w:tabs>
          <w:tab w:val="right" w:leader="dot" w:pos="9070"/>
        </w:tabs>
        <w:rPr>
          <w:rFonts w:hint="eastAsia" w:ascii="宋体" w:hAnsi="宋体" w:eastAsia="宋体" w:cs="宋体"/>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rPr>
        <w:instrText xml:space="preserve"> HYPERLINK \l _Toc29324 </w:instrText>
      </w:r>
      <w:r>
        <w:rPr>
          <w:rFonts w:hint="eastAsia" w:ascii="宋体" w:hAnsi="宋体" w:eastAsia="宋体" w:cs="宋体"/>
        </w:rPr>
        <w:fldChar w:fldCharType="separate"/>
      </w:r>
      <w:r>
        <w:rPr>
          <w:rFonts w:hint="eastAsia" w:ascii="宋体" w:hAnsi="宋体" w:eastAsia="宋体" w:cs="宋体"/>
        </w:rPr>
        <w:t>第四章 谈判方法和程序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_Toc29324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15"/>
        <w:tabs>
          <w:tab w:val="right" w:leader="dot" w:pos="9070"/>
        </w:tabs>
        <w:rPr>
          <w:rFonts w:hint="eastAsia" w:ascii="宋体" w:hAnsi="宋体" w:eastAsia="宋体" w:cs="宋体"/>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rPr>
        <w:instrText xml:space="preserve"> HYPERLINK \l _Toc18731 </w:instrText>
      </w:r>
      <w:r>
        <w:rPr>
          <w:rFonts w:hint="eastAsia" w:ascii="宋体" w:hAnsi="宋体" w:eastAsia="宋体" w:cs="宋体"/>
        </w:rPr>
        <w:fldChar w:fldCharType="separate"/>
      </w:r>
      <w:r>
        <w:rPr>
          <w:rFonts w:hint="eastAsia" w:ascii="宋体" w:hAnsi="宋体" w:eastAsia="宋体" w:cs="宋体"/>
          <w:bCs/>
          <w:szCs w:val="32"/>
        </w:rPr>
        <w:t>第五章  采购合同主要条款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_Toc18731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18"/>
        <w:tabs>
          <w:tab w:val="right" w:leader="dot" w:pos="9070"/>
        </w:tabs>
        <w:rPr>
          <w:rFonts w:hint="eastAsia" w:ascii="宋体" w:hAnsi="宋体" w:eastAsia="宋体" w:cs="宋体"/>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rPr>
        <w:instrText xml:space="preserve"> HYPERLINK \l _Toc12350 </w:instrText>
      </w:r>
      <w:r>
        <w:rPr>
          <w:rFonts w:hint="eastAsia" w:ascii="宋体" w:hAnsi="宋体" w:eastAsia="宋体" w:cs="宋体"/>
        </w:rPr>
        <w:fldChar w:fldCharType="separate"/>
      </w:r>
      <w:r>
        <w:rPr>
          <w:rFonts w:hint="eastAsia" w:ascii="宋体" w:hAnsi="宋体" w:eastAsia="宋体" w:cs="宋体"/>
        </w:rPr>
        <w:t>采购合同（样本）</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_Toc12350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15"/>
        <w:tabs>
          <w:tab w:val="right" w:leader="dot" w:pos="9070"/>
        </w:tabs>
        <w:rPr>
          <w:rFonts w:hint="eastAsia" w:ascii="宋体" w:hAnsi="宋体" w:eastAsia="宋体" w:cs="宋体"/>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rPr>
        <w:instrText xml:space="preserve"> HYPERLINK \l _Toc26597 </w:instrText>
      </w:r>
      <w:r>
        <w:rPr>
          <w:rFonts w:hint="eastAsia" w:ascii="宋体" w:hAnsi="宋体" w:eastAsia="宋体" w:cs="宋体"/>
        </w:rPr>
        <w:fldChar w:fldCharType="separate"/>
      </w:r>
      <w:r>
        <w:rPr>
          <w:rFonts w:hint="eastAsia" w:ascii="宋体" w:hAnsi="宋体" w:eastAsia="宋体" w:cs="宋体"/>
          <w:szCs w:val="32"/>
        </w:rPr>
        <w:t>第六章  谈判响应文件附件格式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_Toc26597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18"/>
        <w:tabs>
          <w:tab w:val="right" w:leader="dot" w:pos="9070"/>
        </w:tabs>
        <w:rPr>
          <w:rFonts w:hint="eastAsia" w:ascii="宋体" w:hAnsi="宋体" w:eastAsia="宋体" w:cs="宋体"/>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rPr>
        <w:instrText xml:space="preserve"> HYPERLINK \l _Toc12606 </w:instrText>
      </w:r>
      <w:r>
        <w:rPr>
          <w:rFonts w:hint="eastAsia" w:ascii="宋体" w:hAnsi="宋体" w:eastAsia="宋体" w:cs="宋体"/>
        </w:rPr>
        <w:fldChar w:fldCharType="separate"/>
      </w:r>
      <w:r>
        <w:rPr>
          <w:rFonts w:hint="eastAsia" w:ascii="宋体" w:hAnsi="宋体" w:eastAsia="宋体" w:cs="宋体"/>
          <w:bCs/>
          <w:szCs w:val="32"/>
        </w:rPr>
        <w:t>附件一：投 标 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_Toc12606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18"/>
        <w:tabs>
          <w:tab w:val="right" w:leader="dot" w:pos="9070"/>
        </w:tabs>
        <w:rPr>
          <w:rFonts w:hint="eastAsia" w:ascii="宋体" w:hAnsi="宋体" w:eastAsia="宋体" w:cs="宋体"/>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rPr>
        <w:instrText xml:space="preserve"> HYPERLINK \l _Toc8060 </w:instrText>
      </w:r>
      <w:r>
        <w:rPr>
          <w:rFonts w:hint="eastAsia" w:ascii="宋体" w:hAnsi="宋体" w:eastAsia="宋体" w:cs="宋体"/>
        </w:rPr>
        <w:fldChar w:fldCharType="separate"/>
      </w:r>
      <w:r>
        <w:rPr>
          <w:rFonts w:hint="eastAsia" w:ascii="宋体" w:hAnsi="宋体" w:eastAsia="宋体" w:cs="宋体"/>
          <w:bCs/>
          <w:szCs w:val="32"/>
        </w:rPr>
        <w:t>附件</w:t>
      </w:r>
      <w:r>
        <w:rPr>
          <w:rFonts w:hint="eastAsia" w:ascii="宋体" w:hAnsi="宋体" w:eastAsia="宋体" w:cs="宋体"/>
          <w:kern w:val="0"/>
        </w:rPr>
        <w:t>二</w:t>
      </w:r>
      <w:r>
        <w:rPr>
          <w:rFonts w:hint="eastAsia" w:ascii="宋体" w:hAnsi="宋体" w:eastAsia="宋体" w:cs="宋体"/>
          <w:bCs/>
          <w:szCs w:val="32"/>
        </w:rPr>
        <w:t>：初次报价表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_Toc8060 \h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18"/>
        <w:tabs>
          <w:tab w:val="right" w:leader="dot" w:pos="9070"/>
        </w:tabs>
        <w:rPr>
          <w:rFonts w:hint="eastAsia" w:ascii="宋体" w:hAnsi="宋体" w:eastAsia="宋体" w:cs="宋体"/>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rPr>
        <w:instrText xml:space="preserve"> HYPERLINK \l _Toc25687 </w:instrText>
      </w:r>
      <w:r>
        <w:rPr>
          <w:rFonts w:hint="eastAsia" w:ascii="宋体" w:hAnsi="宋体" w:eastAsia="宋体" w:cs="宋体"/>
        </w:rPr>
        <w:fldChar w:fldCharType="separate"/>
      </w:r>
      <w:r>
        <w:rPr>
          <w:rFonts w:hint="eastAsia" w:ascii="宋体" w:hAnsi="宋体" w:eastAsia="宋体" w:cs="宋体"/>
          <w:bCs/>
          <w:szCs w:val="32"/>
        </w:rPr>
        <w:t>附件三：法定代表人授权书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_Toc25687 \h </w:instrText>
      </w:r>
      <w:r>
        <w:rPr>
          <w:rFonts w:hint="eastAsia" w:ascii="宋体" w:hAnsi="宋体" w:eastAsia="宋体" w:cs="宋体"/>
        </w:rPr>
        <w:fldChar w:fldCharType="separate"/>
      </w:r>
      <w:r>
        <w:rPr>
          <w:rFonts w:hint="eastAsia" w:ascii="宋体" w:hAnsi="宋体" w:eastAsia="宋体" w:cs="宋体"/>
        </w:rPr>
        <w:t>30</w:t>
      </w:r>
      <w:r>
        <w:rPr>
          <w:rFonts w:hint="eastAsia" w:ascii="宋体" w:hAnsi="宋体" w:eastAsia="宋体" w:cs="宋体"/>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18"/>
        <w:tabs>
          <w:tab w:val="right" w:leader="dot" w:pos="9070"/>
        </w:tabs>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rPr>
        <w:instrText xml:space="preserve"> HYPERLINK \l _Toc23478 </w:instrText>
      </w:r>
      <w:r>
        <w:rPr>
          <w:rFonts w:hint="eastAsia" w:ascii="宋体" w:hAnsi="宋体" w:eastAsia="宋体" w:cs="宋体"/>
        </w:rPr>
        <w:fldChar w:fldCharType="separate"/>
      </w:r>
      <w:r>
        <w:rPr>
          <w:rFonts w:hint="eastAsia" w:ascii="宋体" w:hAnsi="宋体" w:eastAsia="宋体" w:cs="宋体"/>
          <w:bCs/>
          <w:kern w:val="0"/>
          <w:szCs w:val="21"/>
        </w:rPr>
        <w:t>附件四：诚信承诺书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_Toc23478 \h </w:instrText>
      </w:r>
      <w:r>
        <w:rPr>
          <w:rFonts w:hint="eastAsia" w:ascii="宋体" w:hAnsi="宋体" w:eastAsia="宋体" w:cs="宋体"/>
        </w:rPr>
        <w:fldChar w:fldCharType="separate"/>
      </w:r>
      <w:r>
        <w:rPr>
          <w:rFonts w:hint="eastAsia" w:ascii="宋体" w:hAnsi="宋体" w:eastAsia="宋体" w:cs="宋体"/>
        </w:rPr>
        <w:t>31</w:t>
      </w:r>
      <w:r>
        <w:rPr>
          <w:rFonts w:hint="eastAsia" w:ascii="宋体" w:hAnsi="宋体" w:eastAsia="宋体" w:cs="宋体"/>
        </w:rPr>
        <w:fldChar w:fldCharType="end"/>
      </w:r>
      <w:r>
        <w:rPr>
          <w:rFonts w:hint="eastAsia" w:ascii="宋体" w:hAnsi="宋体" w:eastAsia="宋体" w:cs="宋体"/>
          <w:color w:val="000000" w:themeColor="text1"/>
          <w14:textFill>
            <w14:solidFill>
              <w14:schemeClr w14:val="tx1"/>
            </w14:solidFill>
          </w14:textFill>
        </w:rPr>
        <w:fldChar w:fldCharType="end"/>
      </w:r>
    </w:p>
    <w:p>
      <w:pPr>
        <w:pStyle w:val="18"/>
        <w:tabs>
          <w:tab w:val="right" w:leader="dot" w:pos="9070"/>
        </w:tabs>
        <w:rPr>
          <w:color w:val="000000" w:themeColor="text1"/>
          <w14:textFill>
            <w14:solidFill>
              <w14:schemeClr w14:val="tx1"/>
            </w14:solidFill>
          </w14:textFill>
        </w:rPr>
      </w:pPr>
      <w:r>
        <w:rPr>
          <w:color w:val="000000" w:themeColor="text1"/>
          <w14:textFill>
            <w14:solidFill>
              <w14:schemeClr w14:val="tx1"/>
            </w14:solidFill>
          </w14:textFill>
        </w:rPr>
        <w:fldChar w:fldCharType="end"/>
      </w:r>
    </w:p>
    <w:p>
      <w:pPr>
        <w:pStyle w:val="42"/>
        <w:snapToGrid w:val="0"/>
        <w:spacing w:line="240" w:lineRule="auto"/>
        <w:jc w:val="center"/>
        <w:rPr>
          <w:rFonts w:ascii="黑体" w:hAnsi="黑体" w:eastAsia="黑体"/>
          <w:color w:val="000000" w:themeColor="text1"/>
          <w14:textFill>
            <w14:solidFill>
              <w14:schemeClr w14:val="tx1"/>
            </w14:solidFill>
          </w14:textFill>
        </w:rPr>
      </w:pPr>
    </w:p>
    <w:p>
      <w:pPr>
        <w:pStyle w:val="42"/>
        <w:snapToGrid w:val="0"/>
        <w:spacing w:line="240" w:lineRule="auto"/>
        <w:jc w:val="center"/>
        <w:rPr>
          <w:rFonts w:ascii="黑体" w:hAnsi="黑体" w:eastAsia="黑体"/>
          <w:color w:val="000000" w:themeColor="text1"/>
          <w14:textFill>
            <w14:solidFill>
              <w14:schemeClr w14:val="tx1"/>
            </w14:solidFill>
          </w14:textFill>
        </w:rPr>
      </w:pPr>
    </w:p>
    <w:p>
      <w:pPr>
        <w:pStyle w:val="42"/>
        <w:snapToGrid w:val="0"/>
        <w:spacing w:line="240" w:lineRule="auto"/>
        <w:jc w:val="center"/>
        <w:rPr>
          <w:rFonts w:ascii="黑体" w:hAnsi="黑体" w:eastAsia="黑体"/>
          <w:color w:val="000000" w:themeColor="text1"/>
          <w14:textFill>
            <w14:solidFill>
              <w14:schemeClr w14:val="tx1"/>
            </w14:solidFill>
          </w14:textFill>
        </w:rPr>
      </w:pPr>
    </w:p>
    <w:p>
      <w:pPr>
        <w:pStyle w:val="42"/>
        <w:snapToGrid w:val="0"/>
        <w:spacing w:line="240" w:lineRule="auto"/>
        <w:jc w:val="center"/>
        <w:rPr>
          <w:rFonts w:ascii="黑体" w:hAnsi="黑体" w:eastAsia="黑体"/>
          <w:color w:val="000000" w:themeColor="text1"/>
          <w14:textFill>
            <w14:solidFill>
              <w14:schemeClr w14:val="tx1"/>
            </w14:solidFill>
          </w14:textFill>
        </w:rPr>
      </w:pPr>
    </w:p>
    <w:p>
      <w:pPr>
        <w:pStyle w:val="42"/>
        <w:snapToGrid w:val="0"/>
        <w:spacing w:line="240" w:lineRule="auto"/>
        <w:jc w:val="center"/>
        <w:rPr>
          <w:rFonts w:ascii="黑体" w:hAnsi="黑体" w:eastAsia="黑体"/>
          <w:color w:val="000000" w:themeColor="text1"/>
          <w14:textFill>
            <w14:solidFill>
              <w14:schemeClr w14:val="tx1"/>
            </w14:solidFill>
          </w14:textFill>
        </w:rPr>
      </w:pPr>
    </w:p>
    <w:p>
      <w:pPr>
        <w:pStyle w:val="42"/>
        <w:snapToGrid w:val="0"/>
        <w:spacing w:line="240" w:lineRule="auto"/>
        <w:jc w:val="center"/>
        <w:rPr>
          <w:rFonts w:ascii="黑体" w:hAnsi="黑体" w:eastAsia="黑体"/>
          <w:color w:val="000000" w:themeColor="text1"/>
          <w14:textFill>
            <w14:solidFill>
              <w14:schemeClr w14:val="tx1"/>
            </w14:solidFill>
          </w14:textFill>
        </w:rPr>
      </w:pPr>
    </w:p>
    <w:p>
      <w:pPr>
        <w:pStyle w:val="42"/>
        <w:snapToGrid w:val="0"/>
        <w:spacing w:line="240" w:lineRule="auto"/>
        <w:jc w:val="center"/>
        <w:rPr>
          <w:rFonts w:ascii="黑体" w:hAnsi="黑体" w:eastAsia="黑体"/>
          <w:color w:val="000000" w:themeColor="text1"/>
          <w14:textFill>
            <w14:solidFill>
              <w14:schemeClr w14:val="tx1"/>
            </w14:solidFill>
          </w14:textFill>
        </w:rPr>
      </w:pPr>
    </w:p>
    <w:p>
      <w:pPr>
        <w:pStyle w:val="42"/>
        <w:snapToGrid w:val="0"/>
        <w:spacing w:line="240" w:lineRule="auto"/>
        <w:jc w:val="center"/>
        <w:rPr>
          <w:rFonts w:ascii="黑体" w:hAnsi="黑体" w:eastAsia="黑体"/>
          <w:color w:val="000000" w:themeColor="text1"/>
          <w14:textFill>
            <w14:solidFill>
              <w14:schemeClr w14:val="tx1"/>
            </w14:solidFill>
          </w14:textFill>
        </w:rPr>
      </w:pPr>
    </w:p>
    <w:p>
      <w:pPr>
        <w:pStyle w:val="42"/>
        <w:snapToGrid w:val="0"/>
        <w:spacing w:line="240" w:lineRule="auto"/>
        <w:jc w:val="center"/>
        <w:rPr>
          <w:rFonts w:ascii="黑体" w:hAnsi="黑体" w:eastAsia="黑体"/>
          <w:color w:val="000000" w:themeColor="text1"/>
          <w14:textFill>
            <w14:solidFill>
              <w14:schemeClr w14:val="tx1"/>
            </w14:solidFill>
          </w14:textFill>
        </w:rPr>
      </w:pPr>
    </w:p>
    <w:p>
      <w:pPr>
        <w:rPr>
          <w:rStyle w:val="37"/>
          <w:color w:val="000000" w:themeColor="text1"/>
          <w14:textFill>
            <w14:solidFill>
              <w14:schemeClr w14:val="tx1"/>
            </w14:solidFill>
          </w14:textFill>
        </w:rPr>
      </w:pPr>
      <w:r>
        <w:rPr>
          <w:rStyle w:val="37"/>
          <w:color w:val="000000" w:themeColor="text1"/>
          <w14:textFill>
            <w14:solidFill>
              <w14:schemeClr w14:val="tx1"/>
            </w14:solidFill>
          </w14:textFill>
        </w:rPr>
        <w:br w:type="page"/>
      </w:r>
    </w:p>
    <w:p>
      <w:pPr>
        <w:pStyle w:val="42"/>
        <w:snapToGrid w:val="0"/>
        <w:spacing w:line="240" w:lineRule="auto"/>
        <w:jc w:val="center"/>
        <w:outlineLvl w:val="0"/>
        <w:rPr>
          <w:rStyle w:val="37"/>
          <w:color w:val="000000" w:themeColor="text1"/>
          <w14:textFill>
            <w14:solidFill>
              <w14:schemeClr w14:val="tx1"/>
            </w14:solidFill>
          </w14:textFill>
        </w:rPr>
      </w:pPr>
      <w:bookmarkStart w:id="0" w:name="_Toc29833"/>
      <w:r>
        <w:rPr>
          <w:rStyle w:val="37"/>
          <w:color w:val="000000" w:themeColor="text1"/>
          <w14:textFill>
            <w14:solidFill>
              <w14:schemeClr w14:val="tx1"/>
            </w14:solidFill>
          </w14:textFill>
        </w:rPr>
        <w:t xml:space="preserve">第一章  </w:t>
      </w:r>
      <w:r>
        <w:rPr>
          <w:rStyle w:val="37"/>
          <w:rFonts w:hint="eastAsia"/>
          <w:color w:val="000000" w:themeColor="text1"/>
          <w:lang w:eastAsia="zh-CN"/>
          <w14:textFill>
            <w14:solidFill>
              <w14:schemeClr w14:val="tx1"/>
            </w14:solidFill>
          </w14:textFill>
        </w:rPr>
        <w:t>采购邀请书</w:t>
      </w:r>
      <w:bookmarkEnd w:id="0"/>
    </w:p>
    <w:p>
      <w:pPr>
        <w:widowControl/>
        <w:spacing w:line="440" w:lineRule="exact"/>
        <w:jc w:val="left"/>
        <w:rPr>
          <w:rFonts w:hint="eastAsia" w:ascii="黑体" w:hAnsi="黑体" w:eastAsia="宋体" w:cs="黑体"/>
          <w:color w:val="000000" w:themeColor="text1"/>
          <w:sz w:val="30"/>
          <w:szCs w:val="30"/>
          <w:lang w:eastAsia="zh-CN"/>
          <w14:textFill>
            <w14:solidFill>
              <w14:schemeClr w14:val="tx1"/>
            </w14:solidFill>
          </w14:textFill>
        </w:rPr>
      </w:pPr>
      <w:r>
        <w:rPr>
          <w:rFonts w:hint="eastAsia" w:ascii="宋体" w:hAnsi="宋体" w:cs="宋体"/>
          <w:b/>
          <w:color w:val="auto"/>
          <w:sz w:val="24"/>
          <w:highlight w:val="none"/>
        </w:rPr>
        <w:t>拟定供应商名称：</w:t>
      </w:r>
      <w:r>
        <w:rPr>
          <w:rFonts w:hint="eastAsia" w:ascii="宋体" w:hAnsi="宋体" w:cs="宋体"/>
          <w:b/>
          <w:bCs/>
          <w:sz w:val="24"/>
          <w:szCs w:val="24"/>
          <w:lang w:eastAsia="zh-CN"/>
        </w:rPr>
        <w:t>广州正脉教育技术有限公司</w:t>
      </w:r>
    </w:p>
    <w:p>
      <w:pPr>
        <w:spacing w:line="400" w:lineRule="exact"/>
        <w:rPr>
          <w:b/>
          <w:color w:val="000000" w:themeColor="text1"/>
          <w:sz w:val="24"/>
          <w:u w:val="single"/>
          <w14:textFill>
            <w14:solidFill>
              <w14:schemeClr w14:val="tx1"/>
            </w14:solidFill>
          </w14:textFill>
        </w:rPr>
      </w:pPr>
      <w:r>
        <w:rPr>
          <w:rFonts w:ascii="黑体" w:hAnsi="黑体" w:eastAsia="黑体" w:cs="黑体"/>
          <w:color w:val="000000" w:themeColor="text1"/>
          <w:sz w:val="30"/>
          <w:szCs w:val="30"/>
          <w14:textFill>
            <w14:solidFill>
              <w14:schemeClr w14:val="tx1"/>
            </w14:solidFill>
          </w14:textFill>
        </w:rPr>
        <w:t xml:space="preserve">   </w:t>
      </w:r>
      <w:r>
        <w:rPr>
          <w:color w:val="000000" w:themeColor="text1"/>
          <w:sz w:val="24"/>
          <w14:textFill>
            <w14:solidFill>
              <w14:schemeClr w14:val="tx1"/>
            </w14:solidFill>
          </w14:textFill>
        </w:rPr>
        <w:t> 根据《中华人民共和国政府采购法》、《浙江广厦建设职业技术大学招投标管理办法》等有关规定，现就</w:t>
      </w:r>
      <w:r>
        <w:rPr>
          <w:rFonts w:hint="eastAsia"/>
          <w:color w:val="000000" w:themeColor="text1"/>
          <w:sz w:val="24"/>
          <w14:textFill>
            <w14:solidFill>
              <w14:schemeClr w14:val="tx1"/>
            </w14:solidFill>
          </w14:textFill>
        </w:rPr>
        <w:t>浙江广厦建设职业技术大学</w:t>
      </w:r>
      <w:r>
        <w:rPr>
          <w:rFonts w:hint="eastAsia" w:ascii="宋体" w:hAnsi="宋体" w:cs="Arial"/>
          <w:bCs/>
          <w:color w:val="000000" w:themeColor="text1"/>
          <w:sz w:val="24"/>
          <w:szCs w:val="20"/>
          <w:lang w:eastAsia="zh-CN"/>
          <w14:textFill>
            <w14:solidFill>
              <w14:schemeClr w14:val="tx1"/>
            </w14:solidFill>
          </w14:textFill>
        </w:rPr>
        <w:t>高校智能服务终端（含嵌入式智能服务软件V8.0）</w:t>
      </w:r>
      <w:r>
        <w:rPr>
          <w:rFonts w:hint="eastAsia" w:ascii="宋体" w:hAnsi="宋体" w:cs="宋体"/>
          <w:sz w:val="24"/>
        </w:rPr>
        <w:t>进行单一来源采购。</w:t>
      </w:r>
    </w:p>
    <w:p>
      <w:pPr>
        <w:snapToGrid w:val="0"/>
        <w:spacing w:line="400" w:lineRule="exact"/>
        <w:ind w:firstLine="480"/>
        <w:rPr>
          <w:rFonts w:hint="eastAsia" w:ascii="宋体" w:hAnsi="宋体" w:eastAsia="宋体" w:cs="宋体"/>
          <w:color w:val="000000" w:themeColor="text1"/>
          <w:kern w:val="0"/>
          <w:sz w:val="24"/>
          <w:lang w:eastAsia="zh-CN"/>
          <w14:textFill>
            <w14:solidFill>
              <w14:schemeClr w14:val="tx1"/>
            </w14:solidFill>
          </w14:textFill>
        </w:rPr>
      </w:pPr>
      <w:r>
        <w:rPr>
          <w:rFonts w:ascii="宋体" w:hAnsi="宋体" w:cs="Arial"/>
          <w:color w:val="000000" w:themeColor="text1"/>
          <w:sz w:val="24"/>
          <w14:textFill>
            <w14:solidFill>
              <w14:schemeClr w14:val="tx1"/>
            </w14:solidFill>
          </w14:textFill>
        </w:rPr>
        <w:t>一、</w:t>
      </w:r>
      <w:r>
        <w:rPr>
          <w:rFonts w:ascii="宋体" w:hAnsi="宋体" w:cs="Arial"/>
          <w:b/>
          <w:bCs/>
          <w:color w:val="000000" w:themeColor="text1"/>
          <w:sz w:val="24"/>
          <w14:textFill>
            <w14:solidFill>
              <w14:schemeClr w14:val="tx1"/>
            </w14:solidFill>
          </w14:textFill>
        </w:rPr>
        <w:t>项目编号：</w:t>
      </w:r>
      <w:r>
        <w:rPr>
          <w:rFonts w:hint="eastAsia" w:ascii="宋体" w:hAnsi="宋体" w:cs="宋体"/>
          <w:color w:val="000000" w:themeColor="text1"/>
          <w:kern w:val="0"/>
          <w:sz w:val="24"/>
          <w:lang w:eastAsia="zh-CN"/>
          <w14:textFill>
            <w14:solidFill>
              <w14:schemeClr w14:val="tx1"/>
            </w14:solidFill>
          </w14:textFill>
        </w:rPr>
        <w:t>ZJGS2021-C017</w:t>
      </w:r>
    </w:p>
    <w:p>
      <w:pPr>
        <w:snapToGrid w:val="0"/>
        <w:spacing w:line="400" w:lineRule="exact"/>
        <w:ind w:firstLine="480"/>
        <w:rPr>
          <w:rFonts w:ascii="宋体" w:hAnsi="宋体" w:cs="Arial"/>
          <w:color w:val="000000" w:themeColor="text1"/>
          <w:sz w:val="24"/>
          <w:szCs w:val="20"/>
          <w14:textFill>
            <w14:solidFill>
              <w14:schemeClr w14:val="tx1"/>
            </w14:solidFill>
          </w14:textFill>
        </w:rPr>
      </w:pPr>
      <w:r>
        <w:rPr>
          <w:rFonts w:ascii="宋体" w:hAnsi="宋体" w:cs="Arial"/>
          <w:color w:val="000000" w:themeColor="text1"/>
          <w:sz w:val="24"/>
          <w14:textFill>
            <w14:solidFill>
              <w14:schemeClr w14:val="tx1"/>
            </w14:solidFill>
          </w14:textFill>
        </w:rPr>
        <w:t>二、</w:t>
      </w:r>
      <w:r>
        <w:rPr>
          <w:rFonts w:ascii="宋体" w:hAnsi="宋体" w:cs="Arial"/>
          <w:b/>
          <w:color w:val="000000" w:themeColor="text1"/>
          <w:sz w:val="24"/>
          <w14:textFill>
            <w14:solidFill>
              <w14:schemeClr w14:val="tx1"/>
            </w14:solidFill>
          </w14:textFill>
        </w:rPr>
        <w:t>采购组织类型：</w:t>
      </w:r>
      <w:r>
        <w:rPr>
          <w:rFonts w:ascii="宋体" w:hAnsi="宋体" w:cs="Arial"/>
          <w:color w:val="000000" w:themeColor="text1"/>
          <w:sz w:val="24"/>
          <w14:textFill>
            <w14:solidFill>
              <w14:schemeClr w14:val="tx1"/>
            </w14:solidFill>
          </w14:textFill>
        </w:rPr>
        <w:t>自行采购</w:t>
      </w:r>
    </w:p>
    <w:p>
      <w:pPr>
        <w:snapToGrid w:val="0"/>
        <w:spacing w:line="400" w:lineRule="exact"/>
        <w:ind w:firstLine="482"/>
        <w:rPr>
          <w:rFonts w:ascii="宋体" w:hAnsi="宋体" w:cs="Arial"/>
          <w:color w:val="000000" w:themeColor="text1"/>
          <w:sz w:val="24"/>
          <w:szCs w:val="20"/>
          <w14:textFill>
            <w14:solidFill>
              <w14:schemeClr w14:val="tx1"/>
            </w14:solidFill>
          </w14:textFill>
        </w:rPr>
      </w:pPr>
      <w:r>
        <w:rPr>
          <w:rFonts w:ascii="宋体" w:hAnsi="宋体" w:cs="Arial"/>
          <w:b/>
          <w:color w:val="000000" w:themeColor="text1"/>
          <w:sz w:val="24"/>
          <w14:textFill>
            <w14:solidFill>
              <w14:schemeClr w14:val="tx1"/>
            </w14:solidFill>
          </w14:textFill>
        </w:rPr>
        <w:t>三、采购方式：</w:t>
      </w:r>
      <w:r>
        <w:rPr>
          <w:rFonts w:hint="eastAsia" w:ascii="宋体" w:hAnsi="宋体" w:cs="宋体"/>
          <w:kern w:val="0"/>
          <w:sz w:val="24"/>
        </w:rPr>
        <w:t>单一来源</w:t>
      </w:r>
    </w:p>
    <w:p>
      <w:pPr>
        <w:snapToGrid w:val="0"/>
        <w:spacing w:line="400" w:lineRule="exact"/>
        <w:ind w:firstLine="482"/>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四、采购内容及数量：</w:t>
      </w:r>
    </w:p>
    <w:tbl>
      <w:tblPr>
        <w:tblStyle w:val="21"/>
        <w:tblW w:w="8946" w:type="dxa"/>
        <w:tblInd w:w="40" w:type="dxa"/>
        <w:tblLayout w:type="fixed"/>
        <w:tblCellMar>
          <w:top w:w="0" w:type="dxa"/>
          <w:left w:w="108" w:type="dxa"/>
          <w:bottom w:w="0" w:type="dxa"/>
          <w:right w:w="108" w:type="dxa"/>
        </w:tblCellMar>
      </w:tblPr>
      <w:tblGrid>
        <w:gridCol w:w="4791"/>
        <w:gridCol w:w="4155"/>
      </w:tblGrid>
      <w:tr>
        <w:tblPrEx>
          <w:tblCellMar>
            <w:top w:w="0" w:type="dxa"/>
            <w:left w:w="108" w:type="dxa"/>
            <w:bottom w:w="0" w:type="dxa"/>
            <w:right w:w="108" w:type="dxa"/>
          </w:tblCellMar>
        </w:tblPrEx>
        <w:trPr>
          <w:trHeight w:val="426" w:hRule="atLeast"/>
        </w:trPr>
        <w:tc>
          <w:tcPr>
            <w:tcW w:w="4791"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color w:val="000000" w:themeColor="text1"/>
                <w:kern w:val="0"/>
                <w:sz w:val="24"/>
                <w:lang w:val="zh-CN"/>
                <w14:textFill>
                  <w14:solidFill>
                    <w14:schemeClr w14:val="tx1"/>
                  </w14:solidFill>
                </w14:textFill>
              </w:rPr>
            </w:pPr>
            <w:r>
              <w:rPr>
                <w:rFonts w:ascii="宋体" w:hAnsi="宋体"/>
                <w:color w:val="000000" w:themeColor="text1"/>
                <w:kern w:val="0"/>
                <w:sz w:val="24"/>
                <w:lang w:val="zh-CN"/>
                <w14:textFill>
                  <w14:solidFill>
                    <w14:schemeClr w14:val="tx1"/>
                  </w14:solidFill>
                </w14:textFill>
              </w:rPr>
              <w:t>采购内容</w:t>
            </w:r>
          </w:p>
        </w:tc>
        <w:tc>
          <w:tcPr>
            <w:tcW w:w="4155" w:type="dxa"/>
            <w:tcBorders>
              <w:top w:val="single" w:color="000000" w:sz="4" w:space="0"/>
              <w:left w:val="single" w:color="000000" w:sz="4" w:space="0"/>
              <w:bottom w:val="single" w:color="000000" w:sz="4" w:space="0"/>
              <w:right w:val="single" w:color="000000" w:sz="4" w:space="0"/>
            </w:tcBorders>
            <w:vAlign w:val="center"/>
          </w:tcPr>
          <w:p>
            <w:pPr>
              <w:spacing w:before="60" w:after="60" w:line="400" w:lineRule="exact"/>
              <w:ind w:right="60"/>
              <w:jc w:val="center"/>
              <w:rPr>
                <w:rFonts w:ascii="宋体" w:hAnsi="宋体"/>
                <w:b/>
                <w:color w:val="000000"/>
                <w:sz w:val="24"/>
                <w:lang w:val="zh-CN"/>
              </w:rPr>
            </w:pPr>
            <w:r>
              <w:rPr>
                <w:rFonts w:hint="eastAsia" w:ascii="宋体" w:hAnsi="宋体" w:cs="宋体"/>
                <w:b/>
                <w:sz w:val="24"/>
                <w:szCs w:val="20"/>
              </w:rPr>
              <w:t>预算金额</w:t>
            </w:r>
          </w:p>
        </w:tc>
      </w:tr>
      <w:tr>
        <w:tblPrEx>
          <w:tblCellMar>
            <w:top w:w="0" w:type="dxa"/>
            <w:left w:w="108" w:type="dxa"/>
            <w:bottom w:w="0" w:type="dxa"/>
            <w:right w:w="108" w:type="dxa"/>
          </w:tblCellMar>
        </w:tblPrEx>
        <w:trPr>
          <w:trHeight w:val="510" w:hRule="atLeast"/>
        </w:trPr>
        <w:tc>
          <w:tcPr>
            <w:tcW w:w="4791" w:type="dxa"/>
            <w:tcBorders>
              <w:top w:val="single" w:color="000000" w:sz="4" w:space="0"/>
              <w:left w:val="single" w:color="000000" w:sz="4" w:space="0"/>
              <w:bottom w:val="single" w:color="000000" w:sz="4" w:space="0"/>
              <w:right w:val="single" w:color="000000" w:sz="4" w:space="0"/>
            </w:tcBorders>
            <w:vAlign w:val="center"/>
          </w:tcPr>
          <w:p>
            <w:pPr>
              <w:pStyle w:val="45"/>
              <w:spacing w:line="400" w:lineRule="exact"/>
              <w:ind w:firstLine="0" w:firstLineChars="0"/>
              <w:jc w:val="center"/>
              <w:rPr>
                <w:rFonts w:hint="eastAsia" w:ascii="宋体" w:hAnsi="宋体" w:eastAsia="宋体"/>
                <w:color w:val="000000" w:themeColor="text1"/>
                <w:kern w:val="0"/>
                <w:sz w:val="24"/>
                <w:lang w:val="zh-CN" w:eastAsia="zh-CN"/>
                <w14:textFill>
                  <w14:solidFill>
                    <w14:schemeClr w14:val="tx1"/>
                  </w14:solidFill>
                </w14:textFill>
              </w:rPr>
            </w:pPr>
            <w:r>
              <w:rPr>
                <w:rFonts w:hint="eastAsia" w:ascii="宋体" w:hAnsi="宋体" w:cs="Arial"/>
                <w:bCs/>
                <w:color w:val="000000" w:themeColor="text1"/>
                <w:sz w:val="24"/>
                <w:szCs w:val="20"/>
                <w:lang w:eastAsia="zh-CN"/>
                <w14:textFill>
                  <w14:solidFill>
                    <w14:schemeClr w14:val="tx1"/>
                  </w14:solidFill>
                </w14:textFill>
              </w:rPr>
              <w:t>高校智能服务终端（含嵌入式智能服务软件V8.0）</w:t>
            </w:r>
          </w:p>
        </w:tc>
        <w:tc>
          <w:tcPr>
            <w:tcW w:w="41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sz w:val="24"/>
              </w:rPr>
            </w:pPr>
            <w:r>
              <w:rPr>
                <w:rFonts w:hint="eastAsia" w:ascii="宋体" w:hAnsi="宋体"/>
                <w:color w:val="000000"/>
                <w:sz w:val="24"/>
                <w:lang w:val="en-US" w:eastAsia="zh-CN"/>
              </w:rPr>
              <w:t>12</w:t>
            </w:r>
            <w:r>
              <w:rPr>
                <w:rFonts w:hint="eastAsia" w:ascii="宋体" w:hAnsi="宋体"/>
                <w:color w:val="000000"/>
                <w:sz w:val="24"/>
              </w:rPr>
              <w:t>万</w:t>
            </w:r>
          </w:p>
        </w:tc>
      </w:tr>
    </w:tbl>
    <w:p>
      <w:pPr>
        <w:tabs>
          <w:tab w:val="left" w:pos="0"/>
        </w:tabs>
        <w:snapToGrid w:val="0"/>
        <w:spacing w:line="400" w:lineRule="exact"/>
        <w:ind w:firstLine="482" w:firstLineChars="200"/>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五、</w:t>
      </w:r>
      <w:r>
        <w:rPr>
          <w:rFonts w:ascii="宋体" w:hAnsi="宋体" w:cs="Arial"/>
          <w:b/>
          <w:color w:val="000000" w:themeColor="text1"/>
          <w:sz w:val="24"/>
          <w14:textFill>
            <w14:solidFill>
              <w14:schemeClr w14:val="tx1"/>
            </w14:solidFill>
          </w14:textFill>
        </w:rPr>
        <w:t>合格投标人的资格要求</w:t>
      </w:r>
    </w:p>
    <w:p>
      <w:pPr>
        <w:snapToGrid w:val="0"/>
        <w:spacing w:line="400" w:lineRule="exact"/>
        <w:ind w:firstLine="480"/>
        <w:rPr>
          <w:color w:val="000000" w:themeColor="text1"/>
          <w14:textFill>
            <w14:solidFill>
              <w14:schemeClr w14:val="tx1"/>
            </w14:solidFill>
          </w14:textFill>
        </w:rPr>
      </w:pPr>
      <w:r>
        <w:rPr>
          <w:rFonts w:ascii="宋体" w:hAnsi="宋体" w:cs="Arial"/>
          <w:color w:val="000000" w:themeColor="text1"/>
          <w:sz w:val="24"/>
          <w14:textFill>
            <w14:solidFill>
              <w14:schemeClr w14:val="tx1"/>
            </w14:solidFill>
          </w14:textFill>
        </w:rPr>
        <w:t>符合《中华人民共和国政府采购法》第二十二条规定的投标人资格条件和本公告设定的特定条件。</w:t>
      </w:r>
    </w:p>
    <w:p>
      <w:pPr>
        <w:snapToGrid w:val="0"/>
        <w:spacing w:line="400" w:lineRule="exact"/>
        <w:ind w:firstLine="240"/>
        <w:rPr>
          <w:rFonts w:ascii="宋体" w:hAnsi="宋体" w:cs="宋体"/>
          <w:b/>
          <w:bCs/>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w:t>
      </w:r>
      <w:r>
        <w:rPr>
          <w:rFonts w:ascii="宋体" w:hAnsi="宋体" w:cs="宋体"/>
          <w:b/>
          <w:bCs/>
          <w:color w:val="000000" w:themeColor="text1"/>
          <w:sz w:val="24"/>
          <w14:textFill>
            <w14:solidFill>
              <w14:schemeClr w14:val="tx1"/>
            </w14:solidFill>
          </w14:textFill>
        </w:rPr>
        <w:t>投标人的特定条件：</w:t>
      </w:r>
    </w:p>
    <w:p>
      <w:pPr>
        <w:shd w:val="clear" w:color="auto" w:fill="FFFFFF"/>
        <w:snapToGrid w:val="0"/>
        <w:spacing w:line="400" w:lineRule="exact"/>
        <w:ind w:left="479"/>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A、投标人需具有独立法人资格，具有工商注册经营许可。</w:t>
      </w:r>
    </w:p>
    <w:p>
      <w:pPr>
        <w:shd w:val="clear" w:color="auto" w:fill="FFFFFF"/>
        <w:snapToGrid w:val="0"/>
        <w:spacing w:line="400" w:lineRule="exact"/>
        <w:ind w:firstLine="482"/>
        <w:rPr>
          <w:rFonts w:ascii="宋体" w:hAnsi="宋体" w:cs="宋体"/>
          <w:b/>
          <w:bCs/>
          <w:color w:val="000000" w:themeColor="text1"/>
          <w:sz w:val="24"/>
          <w14:textFill>
            <w14:solidFill>
              <w14:schemeClr w14:val="tx1"/>
            </w14:solidFill>
          </w14:textFill>
        </w:rPr>
      </w:pPr>
      <w:r>
        <w:rPr>
          <w:rFonts w:ascii="宋体" w:hAnsi="宋体" w:cs="宋体"/>
          <w:b/>
          <w:bCs/>
          <w:color w:val="000000" w:themeColor="text1"/>
          <w:kern w:val="0"/>
          <w:sz w:val="24"/>
          <w14:textFill>
            <w14:solidFill>
              <w14:schemeClr w14:val="tx1"/>
            </w14:solidFill>
          </w14:textFill>
        </w:rPr>
        <w:t>B、</w:t>
      </w:r>
      <w:r>
        <w:rPr>
          <w:rFonts w:ascii="宋体" w:hAnsi="宋体" w:cs="宋体"/>
          <w:b/>
          <w:bCs/>
          <w:color w:val="000000" w:themeColor="text1"/>
          <w:sz w:val="24"/>
          <w14:textFill>
            <w14:solidFill>
              <w14:schemeClr w14:val="tx1"/>
            </w14:solidFill>
          </w14:textFill>
        </w:rPr>
        <w:t>1、符合《中华人民共和国政府采购法》第二十二条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spacing w:line="400" w:lineRule="exact"/>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D</w:t>
      </w:r>
      <w:r>
        <w:rPr>
          <w:rFonts w:ascii="宋体" w:hAnsi="宋体" w:cs="宋体"/>
          <w:color w:val="000000" w:themeColor="text1"/>
          <w:kern w:val="0"/>
          <w:sz w:val="24"/>
          <w14:textFill>
            <w14:solidFill>
              <w14:schemeClr w14:val="tx1"/>
            </w14:solidFill>
          </w14:textFill>
        </w:rPr>
        <w:t>、本项目不接受联合体投标。</w:t>
      </w:r>
    </w:p>
    <w:p>
      <w:pPr>
        <w:snapToGrid w:val="0"/>
        <w:spacing w:line="400" w:lineRule="exact"/>
        <w:ind w:firstLine="482"/>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六、招标文件的获取及报名方式</w:t>
      </w:r>
    </w:p>
    <w:p>
      <w:pPr>
        <w:pStyle w:val="32"/>
        <w:keepNext w:val="0"/>
        <w:keepLines w:val="0"/>
        <w:pageBreakBefore w:val="0"/>
        <w:widowControl w:val="0"/>
        <w:kinsoku/>
        <w:wordWrap/>
        <w:overflowPunct/>
        <w:topLinePunct w:val="0"/>
        <w:autoSpaceDE/>
        <w:autoSpaceDN/>
        <w:bidi w:val="0"/>
        <w:adjustRightInd/>
        <w:snapToGrid/>
        <w:spacing w:after="0" w:line="460" w:lineRule="exact"/>
        <w:ind w:firstLine="482"/>
        <w:textAlignment w:val="auto"/>
        <w:rPr>
          <w:rFonts w:ascii="宋体" w:hAnsi="宋体" w:eastAsia="宋体" w:cs="Arial"/>
          <w:color w:val="000000" w:themeColor="text1"/>
          <w:kern w:val="2"/>
          <w:sz w:val="24"/>
          <w:szCs w:val="24"/>
          <w:lang w:val="en-US" w:eastAsia="zh-CN" w:bidi="ar-SA"/>
          <w14:textFill>
            <w14:solidFill>
              <w14:schemeClr w14:val="tx1"/>
            </w14:solidFill>
          </w14:textFill>
        </w:rPr>
      </w:pPr>
      <w:r>
        <w:rPr>
          <w:rFonts w:hint="eastAsia" w:ascii="宋体" w:hAnsi="宋体" w:eastAsia="宋体" w:cs="Arial"/>
          <w:color w:val="000000" w:themeColor="text1"/>
          <w:kern w:val="2"/>
          <w:sz w:val="24"/>
          <w:szCs w:val="24"/>
          <w:lang w:val="en-US" w:eastAsia="zh-CN" w:bidi="ar-SA"/>
          <w14:textFill>
            <w14:solidFill>
              <w14:schemeClr w14:val="tx1"/>
            </w14:solidFill>
          </w14:textFill>
        </w:rPr>
        <w:t>本项目谈判报名截止时间：2021年11月25日16时00分前</w:t>
      </w:r>
    </w:p>
    <w:p>
      <w:pPr>
        <w:pStyle w:val="32"/>
        <w:keepNext w:val="0"/>
        <w:keepLines w:val="0"/>
        <w:pageBreakBefore w:val="0"/>
        <w:widowControl w:val="0"/>
        <w:kinsoku/>
        <w:wordWrap/>
        <w:overflowPunct/>
        <w:topLinePunct w:val="0"/>
        <w:autoSpaceDE/>
        <w:autoSpaceDN/>
        <w:bidi w:val="0"/>
        <w:adjustRightInd/>
        <w:snapToGrid/>
        <w:spacing w:after="0" w:line="460" w:lineRule="exact"/>
        <w:ind w:firstLine="482"/>
        <w:textAlignment w:val="auto"/>
        <w:rPr>
          <w:rFonts w:ascii="宋体" w:hAnsi="宋体" w:eastAsia="宋体" w:cs="Arial"/>
          <w:color w:val="000000" w:themeColor="text1"/>
          <w:kern w:val="2"/>
          <w:sz w:val="24"/>
          <w:szCs w:val="24"/>
          <w:lang w:val="en-US" w:eastAsia="zh-CN" w:bidi="ar-SA"/>
          <w14:textFill>
            <w14:solidFill>
              <w14:schemeClr w14:val="tx1"/>
            </w14:solidFill>
          </w14:textFill>
        </w:rPr>
      </w:pPr>
      <w:r>
        <w:rPr>
          <w:rFonts w:hint="eastAsia" w:ascii="宋体" w:hAnsi="宋体" w:eastAsia="宋体" w:cs="Arial"/>
          <w:color w:val="000000" w:themeColor="text1"/>
          <w:kern w:val="2"/>
          <w:sz w:val="24"/>
          <w:szCs w:val="24"/>
          <w:lang w:val="en-US" w:eastAsia="zh-CN" w:bidi="ar-SA"/>
          <w14:textFill>
            <w14:solidFill>
              <w14:schemeClr w14:val="tx1"/>
            </w14:solidFill>
          </w14:textFill>
        </w:rPr>
        <w:t>报名可通</w:t>
      </w:r>
      <w:r>
        <w:rPr>
          <w:rFonts w:ascii="宋体" w:hAnsi="宋体" w:eastAsia="宋体" w:cs="Arial"/>
          <w:color w:val="000000" w:themeColor="text1"/>
          <w:kern w:val="2"/>
          <w:sz w:val="24"/>
          <w:szCs w:val="24"/>
          <w:lang w:val="en-US" w:eastAsia="zh-CN" w:bidi="ar-SA"/>
          <w14:textFill>
            <w14:solidFill>
              <w14:schemeClr w14:val="tx1"/>
            </w14:solidFill>
          </w14:textFill>
        </w:rPr>
        <w:t>过邮箱方式</w:t>
      </w:r>
      <w:r>
        <w:rPr>
          <w:rFonts w:hint="eastAsia" w:ascii="宋体" w:hAnsi="宋体" w:eastAsia="宋体" w:cs="Arial"/>
          <w:color w:val="000000" w:themeColor="text1"/>
          <w:kern w:val="2"/>
          <w:sz w:val="24"/>
          <w:szCs w:val="24"/>
          <w:lang w:val="en-US" w:eastAsia="zh-CN" w:bidi="ar-SA"/>
          <w14:textFill>
            <w14:solidFill>
              <w14:schemeClr w14:val="tx1"/>
            </w14:solidFill>
          </w14:textFill>
        </w:rPr>
        <w:t>或</w:t>
      </w:r>
      <w:r>
        <w:rPr>
          <w:rFonts w:ascii="宋体" w:hAnsi="宋体" w:eastAsia="宋体" w:cs="Arial"/>
          <w:color w:val="000000" w:themeColor="text1"/>
          <w:kern w:val="2"/>
          <w:sz w:val="24"/>
          <w:szCs w:val="24"/>
          <w:lang w:val="en-US" w:eastAsia="zh-CN" w:bidi="ar-SA"/>
          <w14:textFill>
            <w14:solidFill>
              <w14:schemeClr w14:val="tx1"/>
            </w14:solidFill>
          </w14:textFill>
        </w:rPr>
        <w:t>送达</w:t>
      </w:r>
      <w:r>
        <w:rPr>
          <w:rFonts w:hint="eastAsia" w:ascii="宋体" w:hAnsi="宋体" w:eastAsia="宋体" w:cs="Arial"/>
          <w:color w:val="000000" w:themeColor="text1"/>
          <w:kern w:val="2"/>
          <w:sz w:val="24"/>
          <w:szCs w:val="24"/>
          <w:lang w:val="en-US" w:eastAsia="zh-CN" w:bidi="ar-SA"/>
          <w14:textFill>
            <w14:solidFill>
              <w14:schemeClr w14:val="tx1"/>
            </w14:solidFill>
          </w14:textFill>
        </w:rPr>
        <w:t>至浙江广厦建设职业技术大学213办公室</w:t>
      </w:r>
      <w:r>
        <w:rPr>
          <w:rFonts w:ascii="宋体" w:hAnsi="宋体" w:eastAsia="宋体" w:cs="Arial"/>
          <w:color w:val="000000" w:themeColor="text1"/>
          <w:kern w:val="2"/>
          <w:sz w:val="24"/>
          <w:szCs w:val="24"/>
          <w:lang w:val="en-US" w:eastAsia="zh-CN" w:bidi="ar-SA"/>
          <w14:textFill>
            <w14:solidFill>
              <w14:schemeClr w14:val="tx1"/>
            </w14:solidFill>
          </w14:textFill>
        </w:rPr>
        <w:t>（</w:t>
      </w:r>
      <w:r>
        <w:rPr>
          <w:rFonts w:hint="eastAsia" w:ascii="宋体" w:hAnsi="宋体" w:eastAsia="宋体" w:cs="Arial"/>
          <w:color w:val="000000" w:themeColor="text1"/>
          <w:kern w:val="2"/>
          <w:sz w:val="24"/>
          <w:szCs w:val="24"/>
          <w:lang w:val="en-US" w:eastAsia="zh-CN" w:bidi="ar-SA"/>
          <w14:textFill>
            <w14:solidFill>
              <w14:schemeClr w14:val="tx1"/>
            </w14:solidFill>
          </w14:textFill>
        </w:rPr>
        <w:t>电话</w:t>
      </w:r>
      <w:r>
        <w:rPr>
          <w:rFonts w:ascii="宋体" w:hAnsi="宋体" w:eastAsia="宋体" w:cs="Arial"/>
          <w:color w:val="000000" w:themeColor="text1"/>
          <w:kern w:val="2"/>
          <w:sz w:val="24"/>
          <w:szCs w:val="24"/>
          <w:lang w:val="en-US" w:eastAsia="zh-CN" w:bidi="ar-SA"/>
          <w14:textFill>
            <w14:solidFill>
              <w14:schemeClr w14:val="tx1"/>
            </w14:solidFill>
          </w14:textFill>
        </w:rPr>
        <w:t>：0579-866</w:t>
      </w:r>
      <w:r>
        <w:rPr>
          <w:rFonts w:hint="eastAsia" w:ascii="宋体" w:hAnsi="宋体" w:eastAsia="宋体" w:cs="Arial"/>
          <w:color w:val="000000" w:themeColor="text1"/>
          <w:kern w:val="2"/>
          <w:sz w:val="24"/>
          <w:szCs w:val="24"/>
          <w:lang w:val="en-US" w:eastAsia="zh-CN" w:bidi="ar-SA"/>
          <w14:textFill>
            <w14:solidFill>
              <w14:schemeClr w14:val="tx1"/>
            </w14:solidFill>
          </w14:textFill>
        </w:rPr>
        <w:t>64725</w:t>
      </w:r>
      <w:r>
        <w:rPr>
          <w:rFonts w:ascii="宋体" w:hAnsi="宋体" w:eastAsia="宋体" w:cs="Arial"/>
          <w:color w:val="000000" w:themeColor="text1"/>
          <w:kern w:val="2"/>
          <w:sz w:val="24"/>
          <w:szCs w:val="24"/>
          <w:lang w:val="en-US" w:eastAsia="zh-CN" w:bidi="ar-SA"/>
          <w14:textFill>
            <w14:solidFill>
              <w14:schemeClr w14:val="tx1"/>
            </w14:solidFill>
          </w14:textFill>
        </w:rPr>
        <w:t>，邮箱：</w:t>
      </w:r>
      <w:r>
        <w:rPr>
          <w:rFonts w:hint="eastAsia" w:ascii="宋体" w:hAnsi="宋体" w:eastAsia="宋体" w:cs="Arial"/>
          <w:color w:val="000000" w:themeColor="text1"/>
          <w:kern w:val="2"/>
          <w:sz w:val="24"/>
          <w:szCs w:val="24"/>
          <w:lang w:val="en-US" w:eastAsia="zh-CN" w:bidi="ar-SA"/>
          <w14:textFill>
            <w14:solidFill>
              <w14:schemeClr w14:val="tx1"/>
            </w14:solidFill>
          </w14:textFill>
        </w:rPr>
        <w:t>953715462</w:t>
      </w:r>
      <w:r>
        <w:rPr>
          <w:rFonts w:ascii="宋体" w:hAnsi="宋体" w:eastAsia="宋体" w:cs="Arial"/>
          <w:color w:val="000000" w:themeColor="text1"/>
          <w:kern w:val="2"/>
          <w:sz w:val="24"/>
          <w:szCs w:val="24"/>
          <w:lang w:val="en-US" w:eastAsia="zh-CN" w:bidi="ar-SA"/>
          <w14:textFill>
            <w14:solidFill>
              <w14:schemeClr w14:val="tx1"/>
            </w14:solidFill>
          </w14:textFill>
        </w:rPr>
        <w:t>@qq.com）</w:t>
      </w:r>
    </w:p>
    <w:p>
      <w:pPr>
        <w:spacing w:line="400" w:lineRule="exact"/>
        <w:ind w:firstLine="482"/>
        <w:rPr>
          <w:rFonts w:ascii="宋体" w:hAnsi="宋体" w:cs="Arial"/>
          <w:b/>
          <w:bCs/>
          <w:color w:val="000000" w:themeColor="text1"/>
          <w:sz w:val="24"/>
          <w14:textFill>
            <w14:solidFill>
              <w14:schemeClr w14:val="tx1"/>
            </w14:solidFill>
          </w14:textFill>
        </w:rPr>
      </w:pPr>
      <w:r>
        <w:rPr>
          <w:rFonts w:ascii="宋体" w:hAnsi="宋体" w:cs="Arial"/>
          <w:b/>
          <w:bCs/>
          <w:color w:val="000000" w:themeColor="text1"/>
          <w:sz w:val="24"/>
          <w14:textFill>
            <w14:solidFill>
              <w14:schemeClr w14:val="tx1"/>
            </w14:solidFill>
          </w14:textFill>
        </w:rPr>
        <w:t>七、投标截止时间和地点：</w:t>
      </w:r>
    </w:p>
    <w:p>
      <w:pPr>
        <w:snapToGrid w:val="0"/>
        <w:spacing w:line="400" w:lineRule="exact"/>
        <w:ind w:firstLine="420"/>
        <w:rPr>
          <w:rFonts w:ascii="宋体" w:hAnsi="宋体" w:cs="Arial"/>
          <w:color w:val="auto"/>
          <w:sz w:val="24"/>
        </w:rPr>
      </w:pPr>
      <w:r>
        <w:rPr>
          <w:rFonts w:ascii="宋体" w:hAnsi="宋体" w:cs="Arial"/>
          <w:color w:val="000000" w:themeColor="text1"/>
          <w:sz w:val="24"/>
          <w14:textFill>
            <w14:solidFill>
              <w14:schemeClr w14:val="tx1"/>
            </w14:solidFill>
          </w14:textFill>
        </w:rPr>
        <w:t>投标截止时间为</w:t>
      </w:r>
      <w:r>
        <w:rPr>
          <w:rFonts w:ascii="宋体" w:hAnsi="宋体" w:cs="Arial"/>
          <w:color w:val="auto"/>
          <w:sz w:val="24"/>
        </w:rPr>
        <w:t>：2021年</w:t>
      </w:r>
      <w:r>
        <w:rPr>
          <w:rFonts w:hint="eastAsia" w:ascii="宋体" w:hAnsi="宋体" w:cs="Arial"/>
          <w:color w:val="auto"/>
          <w:sz w:val="24"/>
          <w:lang w:eastAsia="zh-CN"/>
        </w:rPr>
        <w:t>11月26日14时00分</w:t>
      </w:r>
      <w:r>
        <w:rPr>
          <w:rFonts w:ascii="宋体" w:hAnsi="宋体" w:cs="Arial"/>
          <w:color w:val="auto"/>
          <w:sz w:val="24"/>
        </w:rPr>
        <w:t xml:space="preserve">前； </w:t>
      </w:r>
    </w:p>
    <w:p>
      <w:pPr>
        <w:snapToGrid w:val="0"/>
        <w:spacing w:line="400" w:lineRule="exact"/>
        <w:ind w:firstLine="420"/>
        <w:rPr>
          <w:rFonts w:ascii="宋体" w:hAnsi="宋体" w:cs="Arial"/>
          <w:color w:val="auto"/>
          <w:sz w:val="24"/>
        </w:rPr>
      </w:pPr>
      <w:r>
        <w:rPr>
          <w:rFonts w:ascii="宋体" w:hAnsi="宋体" w:cs="Arial"/>
          <w:color w:val="auto"/>
          <w:sz w:val="24"/>
        </w:rPr>
        <w:t>开标</w:t>
      </w:r>
      <w:r>
        <w:rPr>
          <w:rFonts w:hint="eastAsia" w:ascii="宋体" w:hAnsi="宋体" w:cs="Arial"/>
          <w:color w:val="auto"/>
          <w:sz w:val="24"/>
        </w:rPr>
        <w:t>地址</w:t>
      </w:r>
      <w:r>
        <w:rPr>
          <w:rFonts w:ascii="宋体" w:hAnsi="宋体" w:cs="Arial"/>
          <w:color w:val="auto"/>
          <w:sz w:val="24"/>
        </w:rPr>
        <w:t>，浙江广厦建设职业技术大学综合楼603开标室。</w:t>
      </w:r>
    </w:p>
    <w:p>
      <w:pPr>
        <w:snapToGrid w:val="0"/>
        <w:spacing w:line="400" w:lineRule="exact"/>
        <w:ind w:firstLine="540"/>
        <w:rPr>
          <w:rFonts w:ascii="宋体" w:hAnsi="宋体" w:cs="Arial"/>
          <w:b/>
          <w:bCs/>
          <w:color w:val="auto"/>
          <w:sz w:val="24"/>
        </w:rPr>
      </w:pPr>
      <w:r>
        <w:rPr>
          <w:rFonts w:ascii="宋体" w:hAnsi="宋体" w:cs="宋体"/>
          <w:color w:val="auto"/>
          <w:sz w:val="24"/>
        </w:rPr>
        <w:t>▲</w:t>
      </w:r>
      <w:r>
        <w:rPr>
          <w:rFonts w:ascii="宋体" w:hAnsi="宋体" w:cs="Arial"/>
          <w:b/>
          <w:bCs/>
          <w:color w:val="auto"/>
          <w:sz w:val="24"/>
        </w:rPr>
        <w:t>八、开标时间及地点：</w:t>
      </w:r>
    </w:p>
    <w:p>
      <w:pPr>
        <w:snapToGrid w:val="0"/>
        <w:spacing w:line="400" w:lineRule="exact"/>
        <w:ind w:firstLine="420"/>
        <w:rPr>
          <w:rFonts w:ascii="宋体" w:hAnsi="宋体" w:cs="Arial"/>
          <w:color w:val="auto"/>
          <w:sz w:val="24"/>
        </w:rPr>
      </w:pPr>
      <w:r>
        <w:rPr>
          <w:rFonts w:ascii="宋体" w:hAnsi="宋体" w:cs="Arial"/>
          <w:color w:val="auto"/>
          <w:sz w:val="24"/>
        </w:rPr>
        <w:t>开标时间为：</w:t>
      </w:r>
      <w:r>
        <w:rPr>
          <w:rFonts w:hint="eastAsia" w:ascii="宋体" w:hAnsi="宋体" w:cs="Arial"/>
          <w:color w:val="auto"/>
          <w:sz w:val="24"/>
          <w:lang w:eastAsia="zh-CN"/>
        </w:rPr>
        <w:t>2021年11月26日14时00分</w:t>
      </w:r>
      <w:r>
        <w:rPr>
          <w:rFonts w:ascii="宋体" w:hAnsi="宋体" w:cs="Arial"/>
          <w:color w:val="auto"/>
          <w:sz w:val="24"/>
        </w:rPr>
        <w:t xml:space="preserve">； </w:t>
      </w:r>
    </w:p>
    <w:p>
      <w:pPr>
        <w:snapToGrid w:val="0"/>
        <w:spacing w:line="400" w:lineRule="exact"/>
        <w:ind w:firstLine="420"/>
        <w:rPr>
          <w:rFonts w:ascii="宋体" w:hAnsi="宋体" w:cs="Arial"/>
          <w:color w:val="000000" w:themeColor="text1"/>
          <w:sz w:val="24"/>
          <w14:textFill>
            <w14:solidFill>
              <w14:schemeClr w14:val="tx1"/>
            </w14:solidFill>
          </w14:textFill>
        </w:rPr>
      </w:pPr>
      <w:r>
        <w:rPr>
          <w:rFonts w:hint="eastAsia" w:ascii="宋体" w:hAnsi="宋体" w:cs="Arial"/>
          <w:color w:val="auto"/>
          <w:sz w:val="24"/>
        </w:rPr>
        <w:t>本项目采用不见面开标的形式开标，投标人自行下载钉钉，在开标截止时间前30分钟内，加群并开启钉钉视频直播，对开</w:t>
      </w:r>
      <w:r>
        <w:rPr>
          <w:rFonts w:hint="eastAsia" w:ascii="宋体" w:hAnsi="宋体" w:cs="Arial"/>
          <w:color w:val="000000" w:themeColor="text1"/>
          <w:sz w:val="24"/>
          <w14:textFill>
            <w14:solidFill>
              <w14:schemeClr w14:val="tx1"/>
            </w14:solidFill>
          </w14:textFill>
        </w:rPr>
        <w:t>标现场情况进行全程直播。</w:t>
      </w:r>
    </w:p>
    <w:p>
      <w:pPr>
        <w:spacing w:line="400" w:lineRule="exact"/>
        <w:ind w:firstLine="241" w:firstLineChars="100"/>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九、</w:t>
      </w:r>
      <w:r>
        <w:rPr>
          <w:rFonts w:ascii="宋体" w:hAnsi="宋体" w:cs="Arial"/>
          <w:b/>
          <w:bCs/>
          <w:color w:val="000000" w:themeColor="text1"/>
          <w:sz w:val="24"/>
          <w14:textFill>
            <w14:solidFill>
              <w14:schemeClr w14:val="tx1"/>
            </w14:solidFill>
          </w14:textFill>
        </w:rPr>
        <w:t>其他事项：</w:t>
      </w:r>
    </w:p>
    <w:p>
      <w:pPr>
        <w:snapToGrid w:val="0"/>
        <w:spacing w:line="400" w:lineRule="exact"/>
        <w:ind w:firstLine="42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为确保招投标活动的公开、公平、公正，切实维护各方合法权益，凡在招标投标、开标评标过程中，受到敲诈、勒索或发现围标串标、虚假投标、恶意竞标等涉黑涉恶线索者，请及时保留相关证据并向有关部门举报。</w:t>
      </w:r>
    </w:p>
    <w:p>
      <w:pPr>
        <w:snapToGrid w:val="0"/>
        <w:spacing w:line="400" w:lineRule="exact"/>
        <w:ind w:firstLine="542"/>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lang w:eastAsia="zh-CN"/>
          <w14:textFill>
            <w14:solidFill>
              <w14:schemeClr w14:val="tx1"/>
            </w14:solidFill>
          </w14:textFill>
        </w:rPr>
        <w:t>十、</w:t>
      </w:r>
      <w:r>
        <w:rPr>
          <w:rFonts w:ascii="宋体" w:hAnsi="宋体" w:cs="Arial"/>
          <w:b/>
          <w:bCs/>
          <w:color w:val="000000" w:themeColor="text1"/>
          <w:sz w:val="24"/>
          <w14:textFill>
            <w14:solidFill>
              <w14:schemeClr w14:val="tx1"/>
            </w14:solidFill>
          </w14:textFill>
        </w:rPr>
        <w:t>业务咨询：</w:t>
      </w:r>
    </w:p>
    <w:p>
      <w:pPr>
        <w:snapToGrid w:val="0"/>
        <w:spacing w:line="400" w:lineRule="exact"/>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浙江广厦建设职业技术大学          联系人：</w:t>
      </w:r>
      <w:r>
        <w:rPr>
          <w:rFonts w:hint="eastAsia" w:ascii="宋体" w:hAnsi="宋体" w:cs="Arial"/>
          <w:color w:val="000000" w:themeColor="text1"/>
          <w:sz w:val="24"/>
          <w14:textFill>
            <w14:solidFill>
              <w14:schemeClr w14:val="tx1"/>
            </w14:solidFill>
          </w14:textFill>
        </w:rPr>
        <w:t>林</w:t>
      </w:r>
      <w:r>
        <w:rPr>
          <w:rFonts w:ascii="宋体" w:hAnsi="宋体" w:cs="Arial"/>
          <w:color w:val="000000" w:themeColor="text1"/>
          <w:sz w:val="24"/>
          <w14:textFill>
            <w14:solidFill>
              <w14:schemeClr w14:val="tx1"/>
            </w14:solidFill>
          </w14:textFill>
        </w:rPr>
        <w:t xml:space="preserve">老师     </w:t>
      </w:r>
    </w:p>
    <w:p>
      <w:pPr>
        <w:snapToGrid w:val="0"/>
        <w:spacing w:line="400" w:lineRule="exact"/>
        <w:ind w:firstLine="420"/>
        <w:rPr>
          <w:rFonts w:ascii="宋体" w:hAnsi="宋体" w:cs="宋体"/>
          <w:color w:val="000000" w:themeColor="text1"/>
          <w:sz w:val="28"/>
          <w:szCs w:val="28"/>
          <w14:textFill>
            <w14:solidFill>
              <w14:schemeClr w14:val="tx1"/>
            </w14:solidFill>
          </w14:textFill>
        </w:rPr>
      </w:pPr>
      <w:r>
        <w:rPr>
          <w:rFonts w:ascii="宋体" w:hAnsi="宋体" w:cs="Arial"/>
          <w:color w:val="000000" w:themeColor="text1"/>
          <w:sz w:val="24"/>
          <w14:textFill>
            <w14:solidFill>
              <w14:schemeClr w14:val="tx1"/>
            </w14:solidFill>
          </w14:textFill>
        </w:rPr>
        <w:t>联系电话：</w:t>
      </w:r>
      <w:r>
        <w:rPr>
          <w:rFonts w:ascii="宋体" w:hAnsi="宋体" w:cs="宋体"/>
          <w:color w:val="000000" w:themeColor="text1"/>
          <w:sz w:val="28"/>
          <w:szCs w:val="28"/>
          <w14:textFill>
            <w14:solidFill>
              <w14:schemeClr w14:val="tx1"/>
            </w14:solidFill>
          </w14:textFill>
        </w:rPr>
        <w:t>0579-866</w:t>
      </w:r>
      <w:r>
        <w:rPr>
          <w:rFonts w:hint="eastAsia" w:ascii="宋体" w:hAnsi="宋体" w:cs="宋体"/>
          <w:color w:val="000000" w:themeColor="text1"/>
          <w:sz w:val="28"/>
          <w:szCs w:val="28"/>
          <w14:textFill>
            <w14:solidFill>
              <w14:schemeClr w14:val="tx1"/>
            </w14:solidFill>
          </w14:textFill>
        </w:rPr>
        <w:t>64725</w:t>
      </w:r>
    </w:p>
    <w:p>
      <w:pPr>
        <w:pStyle w:val="20"/>
        <w:spacing w:line="400" w:lineRule="exact"/>
        <w:ind w:firstLine="280"/>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
      <w:pPr>
        <w:snapToGrid w:val="0"/>
        <w:spacing w:line="400" w:lineRule="exact"/>
        <w:ind w:left="238"/>
        <w:jc w:val="center"/>
        <w:rPr>
          <w:rFonts w:ascii="宋体" w:hAnsi="宋体" w:cs="宋体"/>
          <w:b/>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w:t>
      </w:r>
      <w:r>
        <w:rPr>
          <w:rFonts w:ascii="宋体" w:hAnsi="宋体" w:cs="宋体"/>
          <w:b/>
          <w:color w:val="000000" w:themeColor="text1"/>
          <w:sz w:val="24"/>
          <w14:textFill>
            <w14:solidFill>
              <w14:schemeClr w14:val="tx1"/>
            </w14:solidFill>
          </w14:textFill>
        </w:rPr>
        <w:t>浙江广厦建设职业技术大学</w:t>
      </w:r>
    </w:p>
    <w:p>
      <w:pPr>
        <w:snapToGrid w:val="0"/>
        <w:spacing w:line="400" w:lineRule="exact"/>
        <w:ind w:firstLine="420"/>
        <w:rPr>
          <w:rFonts w:hint="eastAsia" w:ascii="宋体" w:hAnsi="宋体" w:eastAsia="宋体" w:cs="宋体"/>
          <w:color w:val="000000" w:themeColor="text1"/>
          <w:sz w:val="24"/>
          <w:lang w:eastAsia="zh-CN"/>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lang w:eastAsia="zh-CN"/>
          <w14:textFill>
            <w14:solidFill>
              <w14:schemeClr w14:val="tx1"/>
            </w14:solidFill>
          </w14:textFill>
        </w:rPr>
        <w:t>2021年11月1</w:t>
      </w:r>
      <w:r>
        <w:rPr>
          <w:rFonts w:hint="eastAsia" w:ascii="宋体" w:hAnsi="宋体" w:cs="宋体"/>
          <w:b/>
          <w:color w:val="000000" w:themeColor="text1"/>
          <w:sz w:val="24"/>
          <w:lang w:val="en-US" w:eastAsia="zh-CN"/>
          <w14:textFill>
            <w14:solidFill>
              <w14:schemeClr w14:val="tx1"/>
            </w14:solidFill>
          </w14:textFill>
        </w:rPr>
        <w:t>7</w:t>
      </w:r>
      <w:r>
        <w:rPr>
          <w:rFonts w:hint="eastAsia" w:ascii="宋体" w:hAnsi="宋体" w:cs="宋体"/>
          <w:b/>
          <w:color w:val="000000" w:themeColor="text1"/>
          <w:sz w:val="24"/>
          <w:lang w:eastAsia="zh-CN"/>
          <w14:textFill>
            <w14:solidFill>
              <w14:schemeClr w14:val="tx1"/>
            </w14:solidFill>
          </w14:textFill>
        </w:rPr>
        <w:t>日</w:t>
      </w:r>
    </w:p>
    <w:p>
      <w:pPr>
        <w:rPr>
          <w:rFonts w:ascii="黑体" w:hAnsi="黑体" w:eastAsia="黑体"/>
          <w:color w:val="000000" w:themeColor="text1"/>
          <w:sz w:val="28"/>
          <w:szCs w:val="28"/>
          <w14:textFill>
            <w14:solidFill>
              <w14:schemeClr w14:val="tx1"/>
            </w14:solidFill>
          </w14:textFill>
        </w:rPr>
      </w:pPr>
    </w:p>
    <w:p>
      <w:pPr>
        <w:pageBreakBefore/>
        <w:rPr>
          <w:rFonts w:ascii="黑体" w:hAnsi="黑体" w:eastAsia="黑体"/>
          <w:color w:val="000000" w:themeColor="text1"/>
          <w:sz w:val="28"/>
          <w:szCs w:val="28"/>
          <w14:textFill>
            <w14:solidFill>
              <w14:schemeClr w14:val="tx1"/>
            </w14:solidFill>
          </w14:textFill>
        </w:rPr>
      </w:pPr>
      <w:r>
        <w:rPr>
          <w:rFonts w:ascii="黑体" w:hAnsi="黑体" w:eastAsia="黑体"/>
          <w:color w:val="000000" w:themeColor="text1"/>
          <w:sz w:val="28"/>
          <w:szCs w:val="28"/>
          <w14:textFill>
            <w14:solidFill>
              <w14:schemeClr w14:val="tx1"/>
            </w14:solidFill>
          </w14:textFill>
        </w:rPr>
        <w:t xml:space="preserve">附：                   </w:t>
      </w: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sz w:val="36"/>
          <w:szCs w:val="36"/>
        </w:rPr>
        <w:t>谈 判 响 应 确 认 函</w:t>
      </w:r>
    </w:p>
    <w:p>
      <w:pPr>
        <w:spacing w:line="500" w:lineRule="exact"/>
        <w:rPr>
          <w:rFonts w:ascii="宋体" w:hAnsi="宋体" w:cs="宋体"/>
          <w:b/>
          <w:bCs/>
          <w:color w:val="000000" w:themeColor="text1"/>
          <w:sz w:val="28"/>
          <w:szCs w:val="28"/>
          <w14:textFill>
            <w14:solidFill>
              <w14:schemeClr w14:val="tx1"/>
            </w14:solidFill>
          </w14:textFill>
        </w:rPr>
      </w:pPr>
      <w:r>
        <w:rPr>
          <w:rFonts w:hint="eastAsia" w:ascii="宋体" w:hAnsi="宋体" w:cs="宋体"/>
          <w:bCs/>
          <w:color w:val="000000" w:themeColor="text1"/>
          <w:sz w:val="28"/>
          <w:szCs w:val="28"/>
          <w:u w:val="single"/>
          <w14:textFill>
            <w14:solidFill>
              <w14:schemeClr w14:val="tx1"/>
            </w14:solidFill>
          </w14:textFill>
        </w:rPr>
        <w:t>浙江广厦建设职业技术大学</w:t>
      </w:r>
      <w:r>
        <w:rPr>
          <w:rFonts w:ascii="宋体" w:hAnsi="宋体" w:cs="宋体"/>
          <w:bCs/>
          <w:color w:val="000000" w:themeColor="text1"/>
          <w:sz w:val="28"/>
          <w:szCs w:val="28"/>
          <w:u w:val="single"/>
          <w14:textFill>
            <w14:solidFill>
              <w14:schemeClr w14:val="tx1"/>
            </w14:solidFill>
          </w14:textFill>
        </w:rPr>
        <w:t>：</w:t>
      </w:r>
    </w:p>
    <w:p>
      <w:pPr>
        <w:spacing w:line="700" w:lineRule="exact"/>
        <w:ind w:firstLine="573"/>
        <w:rPr>
          <w:rFonts w:ascii="宋体" w:hAnsi="宋体" w:cs="宋体"/>
          <w:sz w:val="28"/>
          <w:szCs w:val="28"/>
        </w:rPr>
      </w:pPr>
      <w:r>
        <w:rPr>
          <w:rFonts w:hint="eastAsia" w:ascii="宋体" w:hAnsi="宋体" w:cs="宋体"/>
          <w:sz w:val="28"/>
          <w:szCs w:val="28"/>
        </w:rPr>
        <w:t>本单位愿意参加</w:t>
      </w:r>
      <w:r>
        <w:rPr>
          <w:rFonts w:hint="eastAsia" w:ascii="宋体" w:hAnsi="宋体" w:cs="宋体"/>
          <w:color w:val="C00000"/>
          <w:sz w:val="28"/>
          <w:szCs w:val="28"/>
          <w:u w:val="single"/>
        </w:rPr>
        <w:t xml:space="preserve"> </w:t>
      </w:r>
      <w:r>
        <w:rPr>
          <w:rFonts w:hint="eastAsia" w:cs="宋体"/>
          <w:bCs/>
          <w:color w:val="000000" w:themeColor="text1"/>
          <w:sz w:val="28"/>
          <w:szCs w:val="28"/>
          <w:u w:val="single"/>
          <w14:textFill>
            <w14:solidFill>
              <w14:schemeClr w14:val="tx1"/>
            </w14:solidFill>
          </w14:textFill>
        </w:rPr>
        <w:t>浙江广厦建设职业技术大学</w:t>
      </w:r>
      <w:r>
        <w:rPr>
          <w:rFonts w:hint="eastAsia" w:cs="宋体"/>
          <w:bCs/>
          <w:color w:val="000000" w:themeColor="text1"/>
          <w:sz w:val="28"/>
          <w:szCs w:val="28"/>
          <w:u w:val="single"/>
          <w:lang w:eastAsia="zh-CN"/>
          <w14:textFill>
            <w14:solidFill>
              <w14:schemeClr w14:val="tx1"/>
            </w14:solidFill>
          </w14:textFill>
        </w:rPr>
        <w:t>高校智能服务终端（含嵌入式智能服务软件V8.0）</w:t>
      </w:r>
      <w:r>
        <w:rPr>
          <w:rFonts w:hint="eastAsia" w:ascii="宋体" w:hAnsi="宋体" w:cs="宋体"/>
          <w:sz w:val="28"/>
          <w:szCs w:val="28"/>
        </w:rPr>
        <w:t>的谈判。现予以确认！</w:t>
      </w:r>
    </w:p>
    <w:p>
      <w:pPr>
        <w:spacing w:line="500" w:lineRule="exact"/>
        <w:rPr>
          <w:rFonts w:ascii="宋体" w:hAnsi="宋体" w:cs="宋体"/>
          <w:color w:val="000000" w:themeColor="text1"/>
          <w:sz w:val="18"/>
          <w:szCs w:val="18"/>
          <w:u w:val="single"/>
          <w14:textFill>
            <w14:solidFill>
              <w14:schemeClr w14:val="tx1"/>
            </w14:solidFill>
          </w14:textFill>
        </w:rPr>
      </w:pPr>
    </w:p>
    <w:p>
      <w:pPr>
        <w:spacing w:line="500" w:lineRule="exact"/>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报名标项：</w:t>
      </w:r>
      <w:r>
        <w:rPr>
          <w:rFonts w:ascii="宋体" w:hAnsi="宋体" w:cs="宋体"/>
          <w:color w:val="000000" w:themeColor="text1"/>
          <w:sz w:val="28"/>
          <w:szCs w:val="28"/>
          <w:u w:val="single"/>
          <w14:textFill>
            <w14:solidFill>
              <w14:schemeClr w14:val="tx1"/>
            </w14:solidFill>
          </w14:textFill>
        </w:rPr>
        <w:t xml:space="preserve">                                   </w:t>
      </w:r>
    </w:p>
    <w:p>
      <w:pPr>
        <w:spacing w:line="500" w:lineRule="exact"/>
        <w:rPr>
          <w:rFonts w:ascii="宋体" w:hAnsi="宋体" w:cs="宋体"/>
          <w:color w:val="000000" w:themeColor="text1"/>
          <w:sz w:val="28"/>
          <w:szCs w:val="28"/>
          <w14:textFill>
            <w14:solidFill>
              <w14:schemeClr w14:val="tx1"/>
            </w14:solidFill>
          </w14:textFill>
        </w:rPr>
      </w:pPr>
    </w:p>
    <w:p>
      <w:pPr>
        <w:spacing w:line="500" w:lineRule="exact"/>
        <w:rPr>
          <w:rFonts w:ascii="宋体" w:hAnsi="宋体" w:cs="宋体"/>
          <w:color w:val="000000" w:themeColor="text1"/>
          <w:sz w:val="28"/>
          <w:szCs w:val="28"/>
          <w:u w:val="single"/>
          <w14:textFill>
            <w14:solidFill>
              <w14:schemeClr w14:val="tx1"/>
            </w14:solidFill>
          </w14:textFill>
        </w:rPr>
      </w:pPr>
      <w:r>
        <w:rPr>
          <w:rFonts w:ascii="宋体" w:hAnsi="宋体" w:cs="宋体"/>
          <w:color w:val="000000" w:themeColor="text1"/>
          <w:sz w:val="28"/>
          <w:szCs w:val="28"/>
          <w14:textFill>
            <w14:solidFill>
              <w14:schemeClr w14:val="tx1"/>
            </w14:solidFill>
          </w14:textFill>
        </w:rPr>
        <w:t>单位名称（公章）：</w:t>
      </w:r>
      <w:r>
        <w:rPr>
          <w:rFonts w:ascii="宋体" w:hAnsi="宋体" w:cs="宋体"/>
          <w:color w:val="000000" w:themeColor="text1"/>
          <w:sz w:val="28"/>
          <w:szCs w:val="28"/>
          <w:u w:val="single"/>
          <w14:textFill>
            <w14:solidFill>
              <w14:schemeClr w14:val="tx1"/>
            </w14:solidFill>
          </w14:textFill>
        </w:rPr>
        <w:t xml:space="preserve">                                            </w:t>
      </w:r>
    </w:p>
    <w:p>
      <w:pPr>
        <w:spacing w:line="500" w:lineRule="exact"/>
        <w:rPr>
          <w:rFonts w:ascii="宋体" w:hAnsi="宋体" w:cs="宋体"/>
          <w:color w:val="000000" w:themeColor="text1"/>
          <w:sz w:val="28"/>
          <w:szCs w:val="28"/>
          <w:u w:val="single"/>
          <w14:textFill>
            <w14:solidFill>
              <w14:schemeClr w14:val="tx1"/>
            </w14:solidFill>
          </w14:textFill>
        </w:rPr>
      </w:pPr>
    </w:p>
    <w:p>
      <w:pPr>
        <w:spacing w:line="500" w:lineRule="exact"/>
        <w:rPr>
          <w:rFonts w:ascii="宋体" w:hAnsi="宋体" w:cs="宋体"/>
          <w:color w:val="000000" w:themeColor="text1"/>
          <w:sz w:val="28"/>
          <w:szCs w:val="28"/>
          <w:u w:val="single"/>
          <w14:textFill>
            <w14:solidFill>
              <w14:schemeClr w14:val="tx1"/>
            </w14:solidFill>
          </w14:textFill>
        </w:rPr>
      </w:pPr>
      <w:r>
        <w:rPr>
          <w:rFonts w:ascii="宋体" w:hAnsi="宋体" w:cs="宋体"/>
          <w:color w:val="000000" w:themeColor="text1"/>
          <w:sz w:val="28"/>
          <w:szCs w:val="28"/>
          <w14:textFill>
            <w14:solidFill>
              <w14:schemeClr w14:val="tx1"/>
            </w14:solidFill>
          </w14:textFill>
        </w:rPr>
        <w:t>法定代表人或授权代表（签章）：</w:t>
      </w:r>
      <w:r>
        <w:rPr>
          <w:rFonts w:ascii="宋体" w:hAnsi="宋体" w:cs="宋体"/>
          <w:color w:val="000000" w:themeColor="text1"/>
          <w:sz w:val="28"/>
          <w:szCs w:val="28"/>
          <w:u w:val="single"/>
          <w14:textFill>
            <w14:solidFill>
              <w14:schemeClr w14:val="tx1"/>
            </w14:solidFill>
          </w14:textFill>
        </w:rPr>
        <w:t xml:space="preserve">                                  </w:t>
      </w:r>
    </w:p>
    <w:p>
      <w:pPr>
        <w:spacing w:line="500" w:lineRule="exact"/>
        <w:rPr>
          <w:rFonts w:ascii="宋体" w:hAnsi="宋体" w:cs="宋体"/>
          <w:color w:val="000000" w:themeColor="text1"/>
          <w:sz w:val="28"/>
          <w:szCs w:val="28"/>
          <w:u w:val="single"/>
          <w14:textFill>
            <w14:solidFill>
              <w14:schemeClr w14:val="tx1"/>
            </w14:solidFill>
          </w14:textFill>
        </w:rPr>
      </w:pPr>
    </w:p>
    <w:p>
      <w:pPr>
        <w:spacing w:line="500" w:lineRule="exact"/>
        <w:rPr>
          <w:rFonts w:ascii="宋体" w:hAnsi="宋体" w:cs="宋体"/>
          <w:color w:val="000000" w:themeColor="text1"/>
          <w:sz w:val="28"/>
          <w:szCs w:val="28"/>
          <w:u w:val="single"/>
          <w14:textFill>
            <w14:solidFill>
              <w14:schemeClr w14:val="tx1"/>
            </w14:solidFill>
          </w14:textFill>
        </w:rPr>
      </w:pPr>
      <w:r>
        <w:rPr>
          <w:rFonts w:ascii="宋体" w:hAnsi="宋体" w:cs="宋体"/>
          <w:color w:val="000000" w:themeColor="text1"/>
          <w:sz w:val="28"/>
          <w:szCs w:val="28"/>
          <w:u w:val="single"/>
          <w14:textFill>
            <w14:solidFill>
              <w14:schemeClr w14:val="tx1"/>
            </w14:solidFill>
          </w14:textFill>
        </w:rPr>
        <w:t xml:space="preserve">                                 </w:t>
      </w:r>
    </w:p>
    <w:p>
      <w:pPr>
        <w:spacing w:line="500" w:lineRule="exact"/>
        <w:rPr>
          <w:rFonts w:ascii="宋体" w:hAnsi="宋体" w:cs="宋体"/>
          <w:color w:val="000000" w:themeColor="text1"/>
          <w:sz w:val="28"/>
          <w:szCs w:val="28"/>
          <w:u w:val="single"/>
          <w14:textFill>
            <w14:solidFill>
              <w14:schemeClr w14:val="tx1"/>
            </w14:solidFill>
          </w14:textFill>
        </w:rPr>
      </w:pPr>
    </w:p>
    <w:p>
      <w:pPr>
        <w:spacing w:line="500" w:lineRule="exact"/>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电  话：</w:t>
      </w:r>
      <w:r>
        <w:rPr>
          <w:rFonts w:ascii="宋体" w:hAnsi="宋体" w:cs="宋体"/>
          <w:color w:val="000000" w:themeColor="text1"/>
          <w:sz w:val="28"/>
          <w:szCs w:val="28"/>
          <w:u w:val="single"/>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邮  编：</w:t>
      </w:r>
      <w:r>
        <w:rPr>
          <w:rFonts w:hint="eastAsia" w:ascii="宋体" w:hAnsi="宋体" w:cs="宋体"/>
          <w:color w:val="000000" w:themeColor="text1"/>
          <w:sz w:val="28"/>
          <w:szCs w:val="28"/>
          <w:u w:val="single"/>
          <w14:textFill>
            <w14:solidFill>
              <w14:schemeClr w14:val="tx1"/>
            </w14:solidFill>
          </w14:textFill>
        </w:rPr>
        <w:t xml:space="preserve">     </w:t>
      </w:r>
      <w:r>
        <w:rPr>
          <w:rFonts w:ascii="宋体" w:hAnsi="宋体" w:cs="宋体"/>
          <w:color w:val="000000" w:themeColor="text1"/>
          <w:sz w:val="28"/>
          <w:szCs w:val="28"/>
          <w:u w:val="single"/>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 xml:space="preserve">                       </w:t>
      </w:r>
      <w:r>
        <w:rPr>
          <w:rFonts w:ascii="宋体" w:hAnsi="宋体" w:cs="宋体"/>
          <w:color w:val="000000" w:themeColor="text1"/>
          <w:sz w:val="28"/>
          <w:szCs w:val="28"/>
          <w:u w:val="single"/>
          <w14:textFill>
            <w14:solidFill>
              <w14:schemeClr w14:val="tx1"/>
            </w14:solidFill>
          </w14:textFill>
        </w:rPr>
        <w:t xml:space="preserve"> </w:t>
      </w:r>
    </w:p>
    <w:p>
      <w:pPr>
        <w:spacing w:line="500" w:lineRule="exact"/>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 xml:space="preserve"> </w:t>
      </w:r>
    </w:p>
    <w:p>
      <w:pPr>
        <w:spacing w:line="500" w:lineRule="exact"/>
        <w:rPr>
          <w:rFonts w:ascii="宋体" w:hAnsi="宋体" w:cs="宋体"/>
          <w:color w:val="000000" w:themeColor="text1"/>
          <w:sz w:val="28"/>
          <w:szCs w:val="28"/>
          <w:u w:val="single"/>
          <w14:textFill>
            <w14:solidFill>
              <w14:schemeClr w14:val="tx1"/>
            </w14:solidFill>
          </w14:textFill>
        </w:rPr>
      </w:pPr>
      <w:r>
        <w:rPr>
          <w:rFonts w:ascii="宋体" w:hAnsi="宋体" w:cs="宋体"/>
          <w:color w:val="000000" w:themeColor="text1"/>
          <w:sz w:val="28"/>
          <w:szCs w:val="28"/>
          <w14:textFill>
            <w14:solidFill>
              <w14:schemeClr w14:val="tx1"/>
            </w14:solidFill>
          </w14:textFill>
        </w:rPr>
        <w:t>传  真：</w:t>
      </w:r>
      <w:r>
        <w:rPr>
          <w:rFonts w:ascii="宋体" w:hAnsi="宋体" w:cs="宋体"/>
          <w:color w:val="000000" w:themeColor="text1"/>
          <w:sz w:val="28"/>
          <w:szCs w:val="28"/>
          <w:u w:val="single"/>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日  期：</w:t>
      </w:r>
      <w:r>
        <w:rPr>
          <w:rFonts w:ascii="宋体" w:hAnsi="宋体" w:cs="宋体"/>
          <w:color w:val="000000" w:themeColor="text1"/>
          <w:sz w:val="28"/>
          <w:szCs w:val="28"/>
          <w:u w:val="single"/>
          <w14:textFill>
            <w14:solidFill>
              <w14:schemeClr w14:val="tx1"/>
            </w14:solidFill>
          </w14:textFill>
        </w:rPr>
        <w:t xml:space="preserve">                     </w:t>
      </w:r>
    </w:p>
    <w:p>
      <w:pPr>
        <w:spacing w:line="500" w:lineRule="exact"/>
        <w:rPr>
          <w:rFonts w:ascii="宋体" w:hAnsi="宋体" w:cs="宋体"/>
          <w:color w:val="000000" w:themeColor="text1"/>
          <w:sz w:val="28"/>
          <w:szCs w:val="28"/>
          <w:u w:val="single"/>
          <w14:textFill>
            <w14:solidFill>
              <w14:schemeClr w14:val="tx1"/>
            </w14:solidFill>
          </w14:textFill>
        </w:rPr>
      </w:pPr>
    </w:p>
    <w:p>
      <w:pPr>
        <w:spacing w:line="500" w:lineRule="exact"/>
        <w:rPr>
          <w:rFonts w:ascii="宋体" w:hAnsi="宋体" w:cs="宋体"/>
          <w:color w:val="000000" w:themeColor="text1"/>
          <w:sz w:val="32"/>
          <w:u w:val="single"/>
          <w14:textFill>
            <w14:solidFill>
              <w14:schemeClr w14:val="tx1"/>
            </w14:solidFill>
          </w14:textFill>
        </w:rPr>
      </w:pPr>
      <w:r>
        <w:rPr>
          <w:rFonts w:ascii="宋体" w:hAnsi="宋体" w:cs="宋体"/>
          <w:color w:val="000000" w:themeColor="text1"/>
          <w:sz w:val="28"/>
          <w:szCs w:val="28"/>
          <w14:textFill>
            <w14:solidFill>
              <w14:schemeClr w14:val="tx1"/>
            </w14:solidFill>
          </w14:textFill>
        </w:rPr>
        <w:t>联系人：</w:t>
      </w:r>
      <w:r>
        <w:rPr>
          <w:rFonts w:ascii="宋体" w:hAnsi="宋体" w:cs="宋体"/>
          <w:color w:val="000000" w:themeColor="text1"/>
          <w:sz w:val="28"/>
          <w:szCs w:val="28"/>
          <w:u w:val="single"/>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手机号码：</w:t>
      </w:r>
      <w:r>
        <w:rPr>
          <w:rFonts w:ascii="宋体" w:hAnsi="宋体" w:cs="宋体"/>
          <w:color w:val="000000" w:themeColor="text1"/>
          <w:sz w:val="28"/>
          <w:szCs w:val="28"/>
          <w:u w:val="single"/>
          <w14:textFill>
            <w14:solidFill>
              <w14:schemeClr w14:val="tx1"/>
            </w14:solidFill>
          </w14:textFill>
        </w:rPr>
        <w:t xml:space="preserve">                 </w:t>
      </w:r>
      <w:r>
        <w:rPr>
          <w:rFonts w:ascii="宋体" w:hAnsi="宋体" w:cs="宋体"/>
          <w:color w:val="000000" w:themeColor="text1"/>
          <w:sz w:val="32"/>
          <w:u w:val="single"/>
          <w14:textFill>
            <w14:solidFill>
              <w14:schemeClr w14:val="tx1"/>
            </w14:solidFill>
          </w14:textFill>
        </w:rPr>
        <w:t xml:space="preserve">   </w:t>
      </w:r>
    </w:p>
    <w:p>
      <w:pPr>
        <w:widowControl/>
        <w:spacing w:line="500" w:lineRule="exact"/>
        <w:jc w:val="left"/>
        <w:rPr>
          <w:rFonts w:ascii="宋体" w:hAnsi="宋体" w:cs="宋体"/>
          <w:color w:val="000000" w:themeColor="text1"/>
          <w:sz w:val="28"/>
          <w:szCs w:val="28"/>
          <w:u w:val="single"/>
          <w14:textFill>
            <w14:solidFill>
              <w14:schemeClr w14:val="tx1"/>
            </w14:solidFill>
          </w14:textFill>
        </w:rPr>
      </w:pPr>
    </w:p>
    <w:p>
      <w:pPr>
        <w:widowControl/>
        <w:spacing w:line="500" w:lineRule="exact"/>
        <w:jc w:val="left"/>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电子邮箱：</w:t>
      </w:r>
      <w:r>
        <w:rPr>
          <w:rFonts w:ascii="宋体" w:hAnsi="宋体" w:cs="宋体"/>
          <w:color w:val="000000" w:themeColor="text1"/>
          <w:sz w:val="28"/>
          <w:szCs w:val="28"/>
          <w:u w:val="single"/>
          <w14:textFill>
            <w14:solidFill>
              <w14:schemeClr w14:val="tx1"/>
            </w14:solidFill>
          </w14:textFill>
        </w:rPr>
        <w:t xml:space="preserve">                       </w:t>
      </w:r>
    </w:p>
    <w:p>
      <w:pPr>
        <w:widowControl/>
        <w:spacing w:line="192" w:lineRule="auto"/>
        <w:jc w:val="left"/>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注：此投标确认</w:t>
      </w:r>
      <w:r>
        <w:rPr>
          <w:rFonts w:ascii="宋体" w:hAnsi="宋体" w:cs="宋体"/>
          <w:color w:val="auto"/>
          <w:sz w:val="28"/>
          <w:szCs w:val="28"/>
        </w:rPr>
        <w:t>函请于</w:t>
      </w:r>
      <w:r>
        <w:rPr>
          <w:rFonts w:hint="eastAsia" w:ascii="宋体" w:hAnsi="宋体" w:cs="宋体"/>
          <w:color w:val="auto"/>
          <w:sz w:val="28"/>
          <w:szCs w:val="28"/>
        </w:rPr>
        <w:t>2021年</w:t>
      </w:r>
      <w:r>
        <w:rPr>
          <w:rFonts w:hint="eastAsia" w:ascii="宋体" w:hAnsi="宋体" w:cs="宋体"/>
          <w:color w:val="auto"/>
          <w:sz w:val="28"/>
          <w:szCs w:val="28"/>
          <w:lang w:val="en-US" w:eastAsia="zh-CN"/>
        </w:rPr>
        <w:t>11</w:t>
      </w:r>
      <w:r>
        <w:rPr>
          <w:rFonts w:hint="eastAsia" w:ascii="宋体" w:hAnsi="宋体" w:cs="宋体"/>
          <w:color w:val="auto"/>
          <w:sz w:val="28"/>
          <w:szCs w:val="28"/>
        </w:rPr>
        <w:t xml:space="preserve">月 </w:t>
      </w:r>
      <w:r>
        <w:rPr>
          <w:rFonts w:hint="eastAsia" w:ascii="宋体" w:hAnsi="宋体" w:cs="宋体"/>
          <w:color w:val="auto"/>
          <w:sz w:val="28"/>
          <w:szCs w:val="28"/>
          <w:lang w:val="en-US" w:eastAsia="zh-CN"/>
        </w:rPr>
        <w:t>25</w:t>
      </w:r>
      <w:r>
        <w:rPr>
          <w:rFonts w:hint="eastAsia" w:ascii="宋体" w:hAnsi="宋体" w:cs="宋体"/>
          <w:color w:val="auto"/>
          <w:sz w:val="28"/>
          <w:szCs w:val="28"/>
        </w:rPr>
        <w:t>日16时00分前</w:t>
      </w:r>
      <w:r>
        <w:rPr>
          <w:rFonts w:ascii="宋体" w:hAnsi="宋体" w:cs="宋体"/>
          <w:color w:val="auto"/>
          <w:sz w:val="28"/>
          <w:szCs w:val="28"/>
        </w:rPr>
        <w:t>通过</w:t>
      </w:r>
      <w:r>
        <w:rPr>
          <w:rFonts w:ascii="宋体" w:hAnsi="宋体" w:cs="宋体"/>
          <w:color w:val="000000" w:themeColor="text1"/>
          <w:sz w:val="28"/>
          <w:szCs w:val="28"/>
          <w14:textFill>
            <w14:solidFill>
              <w14:schemeClr w14:val="tx1"/>
            </w14:solidFill>
          </w14:textFill>
        </w:rPr>
        <w:t>邮箱方式</w:t>
      </w:r>
      <w:r>
        <w:rPr>
          <w:rFonts w:hint="eastAsia" w:ascii="宋体" w:hAnsi="宋体" w:cs="宋体"/>
          <w:color w:val="000000" w:themeColor="text1"/>
          <w:sz w:val="28"/>
          <w:szCs w:val="28"/>
          <w14:textFill>
            <w14:solidFill>
              <w14:schemeClr w14:val="tx1"/>
            </w14:solidFill>
          </w14:textFill>
        </w:rPr>
        <w:t>或</w:t>
      </w:r>
      <w:r>
        <w:rPr>
          <w:rFonts w:ascii="宋体" w:hAnsi="宋体" w:cs="宋体"/>
          <w:color w:val="000000" w:themeColor="text1"/>
          <w:sz w:val="28"/>
          <w:szCs w:val="28"/>
          <w14:textFill>
            <w14:solidFill>
              <w14:schemeClr w14:val="tx1"/>
            </w14:solidFill>
          </w14:textFill>
        </w:rPr>
        <w:t>送达</w:t>
      </w:r>
      <w:r>
        <w:rPr>
          <w:rFonts w:hint="eastAsia" w:ascii="宋体" w:hAnsi="宋体" w:cs="宋体"/>
          <w:color w:val="000000" w:themeColor="text1"/>
          <w:sz w:val="28"/>
          <w:szCs w:val="28"/>
          <w14:textFill>
            <w14:solidFill>
              <w14:schemeClr w14:val="tx1"/>
            </w14:solidFill>
          </w14:textFill>
        </w:rPr>
        <w:t>至浙江广厦建设职业技术大学213办公室</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电话</w:t>
      </w:r>
      <w:r>
        <w:rPr>
          <w:rFonts w:ascii="宋体" w:hAnsi="宋体" w:cs="宋体"/>
          <w:color w:val="000000" w:themeColor="text1"/>
          <w:sz w:val="28"/>
          <w:szCs w:val="28"/>
          <w14:textFill>
            <w14:solidFill>
              <w14:schemeClr w14:val="tx1"/>
            </w14:solidFill>
          </w14:textFill>
        </w:rPr>
        <w:t>：0579-866</w:t>
      </w:r>
      <w:r>
        <w:rPr>
          <w:rFonts w:hint="eastAsia" w:ascii="宋体" w:hAnsi="宋体" w:cs="宋体"/>
          <w:color w:val="000000" w:themeColor="text1"/>
          <w:sz w:val="28"/>
          <w:szCs w:val="28"/>
          <w14:textFill>
            <w14:solidFill>
              <w14:schemeClr w14:val="tx1"/>
            </w14:solidFill>
          </w14:textFill>
        </w:rPr>
        <w:t>64725</w:t>
      </w:r>
      <w:r>
        <w:rPr>
          <w:rFonts w:ascii="宋体" w:hAnsi="宋体" w:cs="宋体"/>
          <w:color w:val="000000" w:themeColor="text1"/>
          <w:sz w:val="28"/>
          <w:szCs w:val="28"/>
          <w14:textFill>
            <w14:solidFill>
              <w14:schemeClr w14:val="tx1"/>
            </w14:solidFill>
          </w14:textFill>
        </w:rPr>
        <w:t>，邮箱：</w:t>
      </w:r>
      <w:r>
        <w:rPr>
          <w:rFonts w:hint="eastAsia" w:ascii="宋体" w:hAnsi="宋体" w:cs="宋体"/>
          <w:color w:val="000000" w:themeColor="text1"/>
          <w:sz w:val="28"/>
          <w:szCs w:val="28"/>
          <w14:textFill>
            <w14:solidFill>
              <w14:schemeClr w14:val="tx1"/>
            </w14:solidFill>
          </w14:textFill>
        </w:rPr>
        <w:t>953715462</w:t>
      </w:r>
      <w:r>
        <w:rPr>
          <w:rFonts w:ascii="宋体" w:hAnsi="宋体" w:cs="宋体"/>
          <w:color w:val="000000" w:themeColor="text1"/>
          <w:sz w:val="28"/>
          <w:szCs w:val="28"/>
          <w14:textFill>
            <w14:solidFill>
              <w14:schemeClr w14:val="tx1"/>
            </w14:solidFill>
          </w14:textFill>
        </w:rPr>
        <w:t>@qq.com）。</w:t>
      </w:r>
      <w:r>
        <w:rPr>
          <w:color w:val="000000" w:themeColor="text1"/>
          <w14:textFill>
            <w14:solidFill>
              <w14:schemeClr w14:val="tx1"/>
            </w14:solidFill>
          </w14:textFill>
        </w:rPr>
        <w:br w:type="page"/>
      </w:r>
    </w:p>
    <w:p>
      <w:pPr>
        <w:pStyle w:val="42"/>
        <w:snapToGrid w:val="0"/>
        <w:spacing w:line="480" w:lineRule="auto"/>
        <w:jc w:val="center"/>
        <w:outlineLvl w:val="0"/>
        <w:rPr>
          <w:rFonts w:ascii="黑体" w:hAnsi="黑体" w:eastAsia="黑体"/>
          <w:color w:val="000000" w:themeColor="text1"/>
          <w:sz w:val="30"/>
          <w:szCs w:val="30"/>
          <w14:textFill>
            <w14:solidFill>
              <w14:schemeClr w14:val="tx1"/>
            </w14:solidFill>
          </w14:textFill>
        </w:rPr>
      </w:pPr>
      <w:bookmarkStart w:id="1" w:name="_Toc15949"/>
      <w:r>
        <w:rPr>
          <w:rFonts w:ascii="黑体" w:hAnsi="黑体" w:eastAsia="黑体"/>
          <w:color w:val="000000" w:themeColor="text1"/>
          <w:sz w:val="30"/>
          <w:szCs w:val="30"/>
          <w14:textFill>
            <w14:solidFill>
              <w14:schemeClr w14:val="tx1"/>
            </w14:solidFill>
          </w14:textFill>
        </w:rPr>
        <w:t xml:space="preserve">第二章  </w:t>
      </w:r>
      <w:r>
        <w:rPr>
          <w:rFonts w:hint="eastAsia" w:ascii="黑体" w:hAnsi="黑体" w:eastAsia="黑体" w:cs="Courier New"/>
          <w:color w:val="000000" w:themeColor="text1"/>
          <w:sz w:val="30"/>
          <w:szCs w:val="30"/>
          <w14:textFill>
            <w14:solidFill>
              <w14:schemeClr w14:val="tx1"/>
            </w14:solidFill>
          </w14:textFill>
        </w:rPr>
        <w:t>采购项目需求</w:t>
      </w:r>
      <w:bookmarkEnd w:id="1"/>
    </w:p>
    <w:p>
      <w:pPr>
        <w:widowControl/>
        <w:spacing w:line="440" w:lineRule="exact"/>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b/>
          <w:color w:val="auto"/>
          <w:sz w:val="24"/>
          <w:highlight w:val="none"/>
        </w:rPr>
        <w:t>拟定供应商名称：</w:t>
      </w:r>
      <w:r>
        <w:rPr>
          <w:rFonts w:hint="eastAsia" w:ascii="宋体" w:hAnsi="宋体" w:cs="宋体"/>
          <w:b/>
          <w:bCs/>
          <w:sz w:val="24"/>
          <w:szCs w:val="24"/>
          <w:lang w:eastAsia="zh-CN"/>
        </w:rPr>
        <w:t>广州正脉教育技术有限公司</w:t>
      </w:r>
    </w:p>
    <w:p>
      <w:pPr>
        <w:spacing w:line="360" w:lineRule="auto"/>
        <w:rPr>
          <w:rFonts w:hint="eastAsia" w:eastAsia="宋体"/>
          <w:bCs/>
          <w:color w:val="000000" w:themeColor="text1"/>
          <w:lang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采购项目名称：</w:t>
      </w:r>
      <w:r>
        <w:rPr>
          <w:rFonts w:hint="eastAsia" w:ascii="宋体" w:hAnsi="宋体" w:cs="Arial"/>
          <w:bCs/>
          <w:color w:val="000000" w:themeColor="text1"/>
          <w:sz w:val="24"/>
          <w:szCs w:val="24"/>
          <w14:textFill>
            <w14:solidFill>
              <w14:schemeClr w14:val="tx1"/>
            </w14:solidFill>
          </w14:textFill>
        </w:rPr>
        <w:t>浙江广厦建设职业技术大学</w:t>
      </w:r>
      <w:r>
        <w:rPr>
          <w:rFonts w:hint="eastAsia" w:ascii="宋体" w:hAnsi="宋体" w:cs="Arial"/>
          <w:bCs/>
          <w:color w:val="000000" w:themeColor="text1"/>
          <w:sz w:val="24"/>
          <w:szCs w:val="24"/>
          <w:lang w:eastAsia="zh-CN"/>
          <w14:textFill>
            <w14:solidFill>
              <w14:schemeClr w14:val="tx1"/>
            </w14:solidFill>
          </w14:textFill>
        </w:rPr>
        <w:t>高校智能服务终端（含嵌入式智能服务软件V8.0）</w:t>
      </w:r>
    </w:p>
    <w:p>
      <w:pPr>
        <w:numPr>
          <w:ilvl w:val="0"/>
          <w:numId w:val="3"/>
        </w:numPr>
        <w:spacing w:line="276" w:lineRule="auto"/>
        <w:rPr>
          <w:rFonts w:ascii="宋体" w:hAnsi="宋体" w:cs="Arial"/>
          <w:b/>
          <w:color w:val="000000" w:themeColor="text1"/>
          <w:sz w:val="28"/>
          <w:szCs w:val="28"/>
          <w14:textFill>
            <w14:solidFill>
              <w14:schemeClr w14:val="tx1"/>
            </w14:solidFill>
          </w14:textFill>
        </w:rPr>
      </w:pPr>
      <w:r>
        <w:rPr>
          <w:rFonts w:ascii="宋体" w:hAnsi="宋体" w:cs="Arial"/>
          <w:b/>
          <w:color w:val="000000" w:themeColor="text1"/>
          <w:sz w:val="28"/>
          <w:szCs w:val="28"/>
          <w14:textFill>
            <w14:solidFill>
              <w14:schemeClr w14:val="tx1"/>
            </w14:solidFill>
          </w14:textFill>
        </w:rPr>
        <w:t xml:space="preserve">采购内容及数量 </w:t>
      </w:r>
    </w:p>
    <w:tbl>
      <w:tblPr>
        <w:tblStyle w:val="21"/>
        <w:tblW w:w="8451" w:type="dxa"/>
        <w:tblInd w:w="40" w:type="dxa"/>
        <w:tblLayout w:type="fixed"/>
        <w:tblCellMar>
          <w:top w:w="0" w:type="dxa"/>
          <w:left w:w="108" w:type="dxa"/>
          <w:bottom w:w="0" w:type="dxa"/>
          <w:right w:w="108" w:type="dxa"/>
        </w:tblCellMar>
      </w:tblPr>
      <w:tblGrid>
        <w:gridCol w:w="4986"/>
        <w:gridCol w:w="3465"/>
      </w:tblGrid>
      <w:tr>
        <w:tblPrEx>
          <w:tblCellMar>
            <w:top w:w="0" w:type="dxa"/>
            <w:left w:w="108" w:type="dxa"/>
            <w:bottom w:w="0" w:type="dxa"/>
            <w:right w:w="108" w:type="dxa"/>
          </w:tblCellMar>
        </w:tblPrEx>
        <w:trPr>
          <w:trHeight w:val="426" w:hRule="atLeast"/>
        </w:trPr>
        <w:tc>
          <w:tcPr>
            <w:tcW w:w="498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color w:val="000000" w:themeColor="text1"/>
                <w:kern w:val="0"/>
                <w:sz w:val="24"/>
                <w:lang w:val="zh-CN"/>
                <w14:textFill>
                  <w14:solidFill>
                    <w14:schemeClr w14:val="tx1"/>
                  </w14:solidFill>
                </w14:textFill>
              </w:rPr>
            </w:pPr>
            <w:r>
              <w:rPr>
                <w:rFonts w:ascii="宋体" w:hAnsi="宋体"/>
                <w:color w:val="000000" w:themeColor="text1"/>
                <w:kern w:val="0"/>
                <w:sz w:val="24"/>
                <w:lang w:val="zh-CN"/>
                <w14:textFill>
                  <w14:solidFill>
                    <w14:schemeClr w14:val="tx1"/>
                  </w14:solidFill>
                </w14:textFill>
              </w:rPr>
              <w:t>采购内容</w:t>
            </w:r>
          </w:p>
        </w:tc>
        <w:tc>
          <w:tcPr>
            <w:tcW w:w="3465" w:type="dxa"/>
            <w:tcBorders>
              <w:top w:val="single" w:color="000000" w:sz="4" w:space="0"/>
              <w:left w:val="single" w:color="000000" w:sz="4" w:space="0"/>
              <w:bottom w:val="single" w:color="000000" w:sz="4" w:space="0"/>
              <w:right w:val="single" w:color="000000" w:sz="4" w:space="0"/>
            </w:tcBorders>
            <w:vAlign w:val="center"/>
          </w:tcPr>
          <w:p>
            <w:pPr>
              <w:spacing w:before="60" w:after="60" w:line="400" w:lineRule="exact"/>
              <w:ind w:right="60"/>
              <w:jc w:val="center"/>
              <w:rPr>
                <w:rFonts w:ascii="宋体" w:hAnsi="宋体"/>
                <w:b/>
                <w:color w:val="000000"/>
                <w:sz w:val="24"/>
                <w:lang w:val="zh-CN"/>
              </w:rPr>
            </w:pPr>
            <w:r>
              <w:rPr>
                <w:rFonts w:hint="eastAsia" w:ascii="宋体" w:hAnsi="宋体" w:cs="宋体"/>
                <w:b/>
                <w:sz w:val="24"/>
                <w:szCs w:val="20"/>
              </w:rPr>
              <w:t>预算金额</w:t>
            </w:r>
          </w:p>
        </w:tc>
      </w:tr>
      <w:tr>
        <w:tblPrEx>
          <w:tblCellMar>
            <w:top w:w="0" w:type="dxa"/>
            <w:left w:w="108" w:type="dxa"/>
            <w:bottom w:w="0" w:type="dxa"/>
            <w:right w:w="108" w:type="dxa"/>
          </w:tblCellMar>
        </w:tblPrEx>
        <w:trPr>
          <w:trHeight w:val="782" w:hRule="atLeast"/>
        </w:trPr>
        <w:tc>
          <w:tcPr>
            <w:tcW w:w="4986" w:type="dxa"/>
            <w:tcBorders>
              <w:top w:val="single" w:color="000000" w:sz="4" w:space="0"/>
              <w:left w:val="single" w:color="000000" w:sz="4" w:space="0"/>
              <w:bottom w:val="single" w:color="000000" w:sz="4" w:space="0"/>
              <w:right w:val="single" w:color="000000" w:sz="4" w:space="0"/>
            </w:tcBorders>
            <w:vAlign w:val="center"/>
          </w:tcPr>
          <w:p>
            <w:pPr>
              <w:pStyle w:val="45"/>
              <w:spacing w:line="400" w:lineRule="exact"/>
              <w:ind w:firstLine="0" w:firstLineChars="0"/>
              <w:jc w:val="center"/>
              <w:rPr>
                <w:rFonts w:hint="eastAsia" w:ascii="宋体" w:hAnsi="宋体" w:eastAsia="宋体"/>
                <w:color w:val="000000" w:themeColor="text1"/>
                <w:kern w:val="0"/>
                <w:sz w:val="24"/>
                <w:lang w:val="zh-CN" w:eastAsia="zh-CN"/>
                <w14:textFill>
                  <w14:solidFill>
                    <w14:schemeClr w14:val="tx1"/>
                  </w14:solidFill>
                </w14:textFill>
              </w:rPr>
            </w:pPr>
            <w:r>
              <w:rPr>
                <w:rFonts w:hint="eastAsia" w:ascii="宋体" w:hAnsi="宋体" w:cs="Arial"/>
                <w:bCs/>
                <w:color w:val="000000" w:themeColor="text1"/>
                <w:sz w:val="24"/>
                <w:szCs w:val="20"/>
                <w:lang w:eastAsia="zh-CN"/>
                <w14:textFill>
                  <w14:solidFill>
                    <w14:schemeClr w14:val="tx1"/>
                  </w14:solidFill>
                </w14:textFill>
              </w:rPr>
              <w:t>高校智能服务终端（含嵌入式智能服务软件V8.0）</w:t>
            </w:r>
          </w:p>
        </w:tc>
        <w:tc>
          <w:tcPr>
            <w:tcW w:w="346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sz w:val="24"/>
              </w:rPr>
            </w:pPr>
            <w:r>
              <w:rPr>
                <w:rFonts w:hint="eastAsia" w:ascii="宋体" w:hAnsi="宋体"/>
                <w:color w:val="000000"/>
                <w:sz w:val="24"/>
              </w:rPr>
              <w:t>1</w:t>
            </w:r>
            <w:r>
              <w:rPr>
                <w:rFonts w:hint="eastAsia" w:ascii="宋体" w:hAnsi="宋体"/>
                <w:color w:val="000000"/>
                <w:sz w:val="24"/>
                <w:lang w:val="en-US" w:eastAsia="zh-CN"/>
              </w:rPr>
              <w:t>2</w:t>
            </w:r>
            <w:r>
              <w:rPr>
                <w:rFonts w:hint="eastAsia" w:ascii="宋体" w:hAnsi="宋体"/>
                <w:color w:val="000000"/>
                <w:sz w:val="24"/>
              </w:rPr>
              <w:t>万</w:t>
            </w:r>
          </w:p>
        </w:tc>
      </w:tr>
    </w:tbl>
    <w:p>
      <w:pPr>
        <w:numPr>
          <w:ilvl w:val="0"/>
          <w:numId w:val="4"/>
        </w:numPr>
        <w:spacing w:line="360" w:lineRule="auto"/>
        <w:rPr>
          <w:rFonts w:hint="eastAsia" w:cs="宋体"/>
          <w:b/>
          <w:color w:val="C00000"/>
          <w:sz w:val="28"/>
          <w:szCs w:val="28"/>
        </w:rPr>
      </w:pPr>
      <w:r>
        <w:rPr>
          <w:rFonts w:cs="宋体"/>
          <w:b/>
          <w:color w:val="C00000"/>
          <w:sz w:val="28"/>
          <w:szCs w:val="28"/>
        </w:rPr>
        <w:t>技术参数及要求</w:t>
      </w:r>
    </w:p>
    <w:p>
      <w:pPr>
        <w:pStyle w:val="6"/>
        <w:keepNext/>
        <w:keepLines/>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eastAsia"/>
          <w:b/>
          <w:bCs/>
          <w:sz w:val="24"/>
          <w:szCs w:val="24"/>
        </w:rPr>
      </w:pPr>
      <w:bookmarkStart w:id="2" w:name="_Toc24330"/>
      <w:r>
        <w:rPr>
          <w:rFonts w:hint="eastAsia"/>
          <w:b/>
          <w:bCs/>
          <w:sz w:val="24"/>
          <w:szCs w:val="24"/>
        </w:rPr>
        <w:t>项目概况</w:t>
      </w:r>
      <w:bookmarkEnd w:id="2"/>
    </w:p>
    <w:p>
      <w:pPr>
        <w:pStyle w:val="6"/>
        <w:pageBreakBefore w:val="0"/>
        <w:widowControl w:val="0"/>
        <w:numPr>
          <w:ilvl w:val="0"/>
          <w:numId w:val="0"/>
        </w:numPr>
        <w:kinsoku/>
        <w:wordWrap/>
        <w:overflowPunct/>
        <w:topLinePunct w:val="0"/>
        <w:autoSpaceDE/>
        <w:autoSpaceDN/>
        <w:bidi w:val="0"/>
        <w:adjustRightInd/>
        <w:snapToGrid/>
        <w:spacing w:before="0" w:after="0" w:line="360" w:lineRule="auto"/>
        <w:ind w:firstLine="420" w:firstLineChars="200"/>
        <w:textAlignment w:val="auto"/>
        <w:rPr>
          <w:sz w:val="21"/>
          <w:szCs w:val="21"/>
        </w:rPr>
      </w:pPr>
      <w:bookmarkStart w:id="3" w:name="_Toc12906"/>
      <w:r>
        <w:rPr>
          <w:rFonts w:hint="eastAsia"/>
          <w:b w:val="0"/>
          <w:bCs w:val="0"/>
          <w:kern w:val="0"/>
          <w:sz w:val="21"/>
          <w:szCs w:val="21"/>
        </w:rPr>
        <w:t>为推进师生校园办事流程简化优化和服务方式创新，最大限度精简办事程序，减少办事环节，缩短办理时限，改进服务质量，积极推行一站式办理、自助办理、等服务，我校拟建设高校智能服务终端，借助物联</w:t>
      </w:r>
      <w:r>
        <w:rPr>
          <w:rFonts w:hint="eastAsia"/>
          <w:b w:val="0"/>
          <w:bCs w:val="0"/>
          <w:sz w:val="21"/>
          <w:szCs w:val="21"/>
        </w:rPr>
        <w:t>网服务终端设备，实现师</w:t>
      </w:r>
      <w:r>
        <w:rPr>
          <w:rFonts w:hint="eastAsia"/>
          <w:b w:val="0"/>
          <w:bCs w:val="0"/>
          <w:color w:val="000000" w:themeColor="text1"/>
          <w:sz w:val="21"/>
          <w:szCs w:val="21"/>
          <w14:textFill>
            <w14:solidFill>
              <w14:schemeClr w14:val="tx1"/>
            </w14:solidFill>
          </w14:textFill>
        </w:rPr>
        <w:t>生办事“一站式服务”，切实让师生少跑腿、数据多跑路。</w:t>
      </w:r>
      <w:bookmarkEnd w:id="3"/>
    </w:p>
    <w:p>
      <w:pPr>
        <w:pStyle w:val="2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eastAsia="宋体"/>
          <w:lang w:eastAsia="zh-CN"/>
        </w:rPr>
      </w:pPr>
      <w:r>
        <w:rPr>
          <w:rFonts w:hint="eastAsia"/>
          <w:b/>
          <w:sz w:val="28"/>
          <w:szCs w:val="28"/>
        </w:rPr>
        <w:t>采购设备整体要求</w:t>
      </w:r>
    </w:p>
    <w:p>
      <w:pPr>
        <w:spacing w:line="360" w:lineRule="auto"/>
        <w:ind w:firstLine="420" w:firstLineChars="200"/>
        <w:rPr>
          <w:bCs/>
        </w:rPr>
      </w:pPr>
      <w:r>
        <w:rPr>
          <w:rFonts w:hint="eastAsia"/>
          <w:bCs/>
        </w:rPr>
        <w:t>1.本次采购</w:t>
      </w:r>
      <w:r>
        <w:rPr>
          <w:rFonts w:hint="eastAsia"/>
        </w:rPr>
        <w:t>智能应用</w:t>
      </w:r>
      <w:r>
        <w:rPr>
          <w:rFonts w:hint="eastAsia"/>
          <w:bCs/>
        </w:rPr>
        <w:t>服务设备须为国产品牌产品，设备生产厂家需具有合法经营范围，同时为保证该设备品牌不侵犯任何第三方商标权，投标时需提供该设备生产厂家品牌商标注册证书复印件以及提供经工商部门核定生产厂家具有设备制造经营范围的证明材料。</w:t>
      </w:r>
    </w:p>
    <w:p>
      <w:pPr>
        <w:spacing w:line="360" w:lineRule="auto"/>
        <w:ind w:firstLine="481"/>
      </w:pPr>
      <w:r>
        <w:rPr>
          <w:rFonts w:hint="eastAsia"/>
          <w:b/>
        </w:rPr>
        <w:t>★</w:t>
      </w:r>
      <w:r>
        <w:rPr>
          <w:rFonts w:hint="eastAsia"/>
          <w:bCs/>
        </w:rPr>
        <w:t>2.每套</w:t>
      </w:r>
      <w:r>
        <w:rPr>
          <w:rFonts w:hint="eastAsia"/>
          <w:color w:val="000000"/>
        </w:rPr>
        <w:t>校园自助服务终端设备须由同一生产厂家生产的</w:t>
      </w:r>
      <w:r>
        <w:rPr>
          <w:rFonts w:hint="eastAsia"/>
        </w:rPr>
        <w:t>自助服务终端</w:t>
      </w:r>
      <w:r>
        <w:rPr>
          <w:rFonts w:hint="eastAsia"/>
          <w:color w:val="000000"/>
        </w:rPr>
        <w:t>及嵌入式智能服务软件组成。同一生产厂家生产的自助服务终端</w:t>
      </w:r>
      <w:r>
        <w:rPr>
          <w:rFonts w:hint="eastAsia"/>
        </w:rPr>
        <w:t>设备整机须具有符合国家要求的强制性产品认证（CCC）证书，嵌入式自助服务软件须具有合法知识产权，投标时须提供所投自助服务终端设备整机产品CCC认证证书，CCC认证证书中的生产者（制造商）及</w:t>
      </w:r>
      <w:r>
        <w:rPr>
          <w:rFonts w:hint="eastAsia"/>
          <w:color w:val="000000" w:themeColor="text1"/>
          <w14:textFill>
            <w14:solidFill>
              <w14:schemeClr w14:val="tx1"/>
            </w14:solidFill>
          </w14:textFill>
        </w:rPr>
        <w:t>生产企业必须是同一生产厂家，确保产品实施交付前后、免费质保期内外提供同一生产厂家一体化的维护、配件供应、系统升级服务。</w:t>
      </w:r>
    </w:p>
    <w:p>
      <w:pPr>
        <w:pageBreakBefore w:val="0"/>
        <w:widowControl w:val="0"/>
        <w:kinsoku/>
        <w:wordWrap/>
        <w:overflowPunct/>
        <w:topLinePunct w:val="0"/>
        <w:autoSpaceDE/>
        <w:autoSpaceDN/>
        <w:bidi w:val="0"/>
        <w:adjustRightInd/>
        <w:snapToGrid/>
        <w:spacing w:line="360" w:lineRule="auto"/>
        <w:textAlignment w:val="auto"/>
        <w:rPr>
          <w:rFonts w:hint="eastAsia" w:eastAsia="宋体"/>
          <w:lang w:eastAsia="zh-CN"/>
        </w:rPr>
      </w:pPr>
      <w:r>
        <w:rPr>
          <w:rFonts w:hint="eastAsia"/>
          <w:b/>
          <w:sz w:val="28"/>
          <w:szCs w:val="20"/>
        </w:rPr>
        <w:t>采购设备参数要求</w:t>
      </w:r>
    </w:p>
    <w:p>
      <w:pPr>
        <w:tabs>
          <w:tab w:val="left" w:pos="360"/>
        </w:tabs>
        <w:spacing w:line="360" w:lineRule="auto"/>
      </w:pPr>
      <w:r>
        <w:rPr>
          <w:rFonts w:hint="eastAsia"/>
          <w:b/>
          <w:color w:val="C00000"/>
          <w:sz w:val="28"/>
          <w:szCs w:val="28"/>
          <w:lang w:eastAsia="zh-CN"/>
        </w:rPr>
        <w:t>㈠</w:t>
      </w:r>
      <w:r>
        <w:rPr>
          <w:rFonts w:hint="eastAsia"/>
          <w:b/>
          <w:color w:val="C00000"/>
          <w:sz w:val="28"/>
          <w:szCs w:val="28"/>
        </w:rPr>
        <w:t>高校智能服务终端设备</w:t>
      </w:r>
    </w:p>
    <w:tbl>
      <w:tblPr>
        <w:tblStyle w:val="21"/>
        <w:tblpPr w:leftFromText="180" w:rightFromText="180" w:vertAnchor="text" w:horzAnchor="page" w:tblpX="1252" w:tblpY="299"/>
        <w:tblOverlap w:val="never"/>
        <w:tblW w:w="9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838" w:type="dxa"/>
            <w:tcBorders>
              <w:tl2br w:val="nil"/>
              <w:tr2bl w:val="nil"/>
            </w:tcBorders>
            <w:vAlign w:val="center"/>
          </w:tcPr>
          <w:p>
            <w:pPr>
              <w:widowControl/>
              <w:adjustRightInd w:val="0"/>
              <w:snapToGrid w:val="0"/>
              <w:spacing w:line="240" w:lineRule="auto"/>
              <w:jc w:val="center"/>
              <w:rPr>
                <w:rFonts w:hint="eastAsia" w:asciiTheme="minorEastAsia" w:hAnsiTheme="minorEastAsia" w:eastAsiaTheme="minorEastAsia" w:cstheme="minorEastAsia"/>
                <w:b/>
                <w:bCs/>
                <w:color w:val="000000"/>
                <w:kern w:val="0"/>
                <w:sz w:val="21"/>
                <w:szCs w:val="21"/>
              </w:rPr>
            </w:pPr>
            <w:bookmarkStart w:id="4" w:name="_Hlk30097641"/>
            <w:r>
              <w:rPr>
                <w:rFonts w:hint="eastAsia" w:asciiTheme="minorEastAsia" w:hAnsiTheme="minorEastAsia" w:eastAsiaTheme="minorEastAsia" w:cstheme="minorEastAsia"/>
                <w:b/>
                <w:bCs/>
                <w:color w:val="000000"/>
                <w:kern w:val="0"/>
                <w:sz w:val="21"/>
                <w:szCs w:val="21"/>
              </w:rPr>
              <w:t>部件名称</w:t>
            </w:r>
          </w:p>
        </w:tc>
        <w:tc>
          <w:tcPr>
            <w:tcW w:w="7376" w:type="dxa"/>
            <w:tcBorders>
              <w:tl2br w:val="nil"/>
              <w:tr2bl w:val="nil"/>
            </w:tcBorders>
            <w:vAlign w:val="center"/>
          </w:tcPr>
          <w:p>
            <w:pPr>
              <w:widowControl/>
              <w:adjustRightInd w:val="0"/>
              <w:snapToGrid w:val="0"/>
              <w:spacing w:line="240" w:lineRule="auto"/>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color w:val="000000"/>
                <w:kern w:val="0"/>
                <w:sz w:val="21"/>
                <w:szCs w:val="21"/>
              </w:rPr>
              <w:t>性能/配置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838" w:type="dxa"/>
            <w:tcBorders>
              <w:tl2br w:val="nil"/>
              <w:tr2bl w:val="nil"/>
            </w:tcBorders>
            <w:vAlign w:val="center"/>
          </w:tcPr>
          <w:p>
            <w:pPr>
              <w:widowControl/>
              <w:adjustRightInd w:val="0"/>
              <w:snapToGri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工控模块</w:t>
            </w:r>
          </w:p>
        </w:tc>
        <w:tc>
          <w:tcPr>
            <w:tcW w:w="7376" w:type="dxa"/>
            <w:tcBorders>
              <w:tl2br w:val="nil"/>
              <w:tr2bl w:val="nil"/>
            </w:tcBorders>
            <w:vAlign w:val="center"/>
          </w:tcPr>
          <w:p>
            <w:pPr>
              <w:widowControl/>
              <w:spacing w:line="240" w:lineRule="auto"/>
              <w:jc w:val="left"/>
              <w:rPr>
                <w:rFonts w:hint="eastAsia" w:asciiTheme="minorEastAsia" w:hAnsiTheme="minorEastAsia" w:eastAsiaTheme="minorEastAsia" w:cstheme="minorEastAsia"/>
                <w:sz w:val="21"/>
                <w:szCs w:val="21"/>
              </w:rPr>
            </w:pPr>
            <w:r>
              <w:rPr>
                <w:rFonts w:ascii="宋体" w:hAnsi="宋体" w:eastAsia="宋体" w:cs="宋体"/>
                <w:sz w:val="21"/>
                <w:szCs w:val="21"/>
              </w:rPr>
              <w:t>CPU处理器：≥酷睿I5-6500</w:t>
            </w:r>
            <w:r>
              <w:rPr>
                <w:rFonts w:ascii="宋体" w:hAnsi="宋体" w:eastAsia="宋体" w:cs="宋体"/>
                <w:sz w:val="21"/>
                <w:szCs w:val="21"/>
              </w:rPr>
              <w:br w:type="textWrapping"/>
            </w:r>
            <w:r>
              <w:rPr>
                <w:rFonts w:ascii="宋体" w:hAnsi="宋体" w:eastAsia="宋体" w:cs="宋体"/>
                <w:sz w:val="21"/>
                <w:szCs w:val="21"/>
              </w:rPr>
              <w:t>主板：BPC-7971</w:t>
            </w:r>
            <w:r>
              <w:rPr>
                <w:rFonts w:ascii="宋体" w:hAnsi="宋体" w:eastAsia="宋体" w:cs="宋体"/>
                <w:sz w:val="21"/>
                <w:szCs w:val="21"/>
              </w:rPr>
              <w:br w:type="textWrapping"/>
            </w:r>
            <w:r>
              <w:rPr>
                <w:rFonts w:ascii="宋体" w:hAnsi="宋体" w:eastAsia="宋体" w:cs="宋体"/>
                <w:sz w:val="21"/>
                <w:szCs w:val="21"/>
              </w:rPr>
              <w:t>内存：≥8G DDR4</w:t>
            </w:r>
            <w:r>
              <w:rPr>
                <w:rFonts w:ascii="宋体" w:hAnsi="宋体" w:eastAsia="宋体" w:cs="宋体"/>
                <w:sz w:val="21"/>
                <w:szCs w:val="21"/>
              </w:rPr>
              <w:br w:type="textWrapping"/>
            </w:r>
            <w:r>
              <w:rPr>
                <w:rFonts w:ascii="宋体" w:hAnsi="宋体" w:eastAsia="宋体" w:cs="宋体"/>
                <w:sz w:val="21"/>
                <w:szCs w:val="21"/>
              </w:rPr>
              <w:t>硬盘：≥1TB机械硬盘 </w:t>
            </w:r>
            <w:r>
              <w:rPr>
                <w:rFonts w:ascii="宋体" w:hAnsi="宋体" w:eastAsia="宋体" w:cs="宋体"/>
                <w:sz w:val="21"/>
                <w:szCs w:val="21"/>
              </w:rPr>
              <w:br w:type="textWrapping"/>
            </w:r>
            <w:r>
              <w:rPr>
                <w:rFonts w:ascii="宋体" w:hAnsi="宋体" w:eastAsia="宋体" w:cs="宋体"/>
                <w:sz w:val="21"/>
                <w:szCs w:val="21"/>
              </w:rPr>
              <w:t>串口：≥10个RS-232，满足所有内接模块</w:t>
            </w:r>
            <w:r>
              <w:rPr>
                <w:rFonts w:ascii="宋体" w:hAnsi="宋体" w:eastAsia="宋体" w:cs="宋体"/>
                <w:sz w:val="21"/>
                <w:szCs w:val="21"/>
              </w:rPr>
              <w:br w:type="textWrapping"/>
            </w:r>
            <w:r>
              <w:rPr>
                <w:rFonts w:ascii="宋体" w:hAnsi="宋体" w:eastAsia="宋体" w:cs="宋体"/>
                <w:sz w:val="21"/>
                <w:szCs w:val="21"/>
              </w:rPr>
              <w:t>USB接口：USB3.0≥4个，USB2.0≥4个,满足所有内接模块，可扩展</w:t>
            </w:r>
            <w:r>
              <w:rPr>
                <w:rFonts w:ascii="宋体" w:hAnsi="宋体" w:eastAsia="宋体" w:cs="宋体"/>
                <w:sz w:val="21"/>
                <w:szCs w:val="21"/>
              </w:rPr>
              <w:br w:type="textWrapping"/>
            </w:r>
            <w:r>
              <w:rPr>
                <w:rFonts w:ascii="宋体" w:hAnsi="宋体" w:eastAsia="宋体" w:cs="宋体"/>
                <w:sz w:val="21"/>
                <w:szCs w:val="21"/>
              </w:rPr>
              <w:t>散热系统：无风扇，采用冰翅散热系统钢管传导散热</w:t>
            </w:r>
            <w:r>
              <w:rPr>
                <w:rFonts w:ascii="宋体" w:hAnsi="宋体" w:eastAsia="宋体" w:cs="宋体"/>
                <w:sz w:val="21"/>
                <w:szCs w:val="21"/>
              </w:rPr>
              <w:br w:type="textWrapping"/>
            </w:r>
            <w:r>
              <w:rPr>
                <w:rFonts w:ascii="宋体" w:hAnsi="宋体" w:eastAsia="宋体" w:cs="宋体"/>
                <w:sz w:val="21"/>
                <w:szCs w:val="21"/>
              </w:rPr>
              <w:t>显示接口：VGA≥1、DVI/HDMI≥1、DP≥1</w:t>
            </w:r>
            <w:r>
              <w:rPr>
                <w:rFonts w:ascii="宋体" w:hAnsi="宋体" w:eastAsia="宋体" w:cs="宋体"/>
                <w:sz w:val="21"/>
                <w:szCs w:val="21"/>
              </w:rPr>
              <w:br w:type="textWrapping"/>
            </w:r>
            <w:r>
              <w:rPr>
                <w:rFonts w:ascii="宋体" w:hAnsi="宋体" w:eastAsia="宋体" w:cs="宋体"/>
                <w:sz w:val="21"/>
                <w:szCs w:val="21"/>
              </w:rPr>
              <w:t>双网卡：GbE LAN≥2（10/100/1000M自适应）满足外接要求；</w:t>
            </w:r>
            <w:r>
              <w:rPr>
                <w:rFonts w:ascii="宋体" w:hAnsi="宋体" w:eastAsia="宋体" w:cs="宋体"/>
                <w:sz w:val="21"/>
                <w:szCs w:val="21"/>
              </w:rPr>
              <w:br w:type="textWrapping"/>
            </w:r>
            <w:r>
              <w:rPr>
                <w:rFonts w:ascii="宋体" w:hAnsi="宋体" w:eastAsia="宋体" w:cs="宋体"/>
                <w:sz w:val="21"/>
                <w:szCs w:val="21"/>
              </w:rPr>
              <w:t>多媒体：包含声卡、扬声器等接口。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8" w:type="dxa"/>
            <w:tcBorders>
              <w:tl2br w:val="nil"/>
              <w:tr2bl w:val="nil"/>
            </w:tcBorders>
            <w:vAlign w:val="center"/>
          </w:tcPr>
          <w:p>
            <w:pPr>
              <w:widowControl/>
              <w:adjustRightInd w:val="0"/>
              <w:snapToGrid w:val="0"/>
              <w:spacing w:line="24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电源模块</w:t>
            </w:r>
          </w:p>
        </w:tc>
        <w:tc>
          <w:tcPr>
            <w:tcW w:w="7376" w:type="dxa"/>
            <w:tcBorders>
              <w:tl2br w:val="nil"/>
              <w:tr2bl w:val="nil"/>
            </w:tcBorders>
            <w:vAlign w:val="center"/>
          </w:tcPr>
          <w:p>
            <w:pPr>
              <w:adjustRightInd w:val="0"/>
              <w:snapToGrid w:val="0"/>
              <w:spacing w:line="240"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输入电压：AC220V±10%，50±1Hz</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电源接口：国标</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工作温度：0-60℃；湿度范围：5%-95%；整机噪音：≤50dB；MTTR:≤30min；MTBF:≥20000Hour</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震动适应性：符合GB/T 2423.58-2008相关标准</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防护等级：IP54</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电磁辐射：符合GB17625.1-2003要求</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无线电骚扰限值：符合GB9254-2008A级要求</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谐波电流骚扰试验：符合GB9254-2008A级要求</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抗扰度：符合GB17626.1-2006相关标准</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设备安全性：符合GB4943-2011相关要求</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对地漏电流：符合GB4943-2011相关要求</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抗电强度：符合GB4943-2011相关要求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838" w:type="dxa"/>
            <w:tcBorders>
              <w:tl2br w:val="nil"/>
              <w:tr2bl w:val="nil"/>
            </w:tcBorders>
            <w:vAlign w:val="center"/>
          </w:tcPr>
          <w:p>
            <w:pPr>
              <w:widowControl/>
              <w:adjustRightInd w:val="0"/>
              <w:snapToGrid w:val="0"/>
              <w:spacing w:line="24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kern w:val="0"/>
                <w:sz w:val="21"/>
                <w:szCs w:val="21"/>
              </w:rPr>
              <w:t>触显一体单屏</w:t>
            </w:r>
          </w:p>
        </w:tc>
        <w:tc>
          <w:tcPr>
            <w:tcW w:w="7376" w:type="dxa"/>
            <w:tcBorders>
              <w:tl2br w:val="nil"/>
              <w:tr2bl w:val="nil"/>
            </w:tcBorders>
            <w:vAlign w:val="center"/>
          </w:tcPr>
          <w:p>
            <w:pPr>
              <w:widowControl/>
              <w:adjustRightInd w:val="0"/>
              <w:snapToGrid w:val="0"/>
              <w:spacing w:line="24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单屏尺寸：≥43英寸硬屏电容触显一体屏</w:t>
            </w:r>
          </w:p>
          <w:p>
            <w:pPr>
              <w:widowControl/>
              <w:adjustRightInd w:val="0"/>
              <w:snapToGrid w:val="0"/>
              <w:spacing w:line="24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支持多点触控</w:t>
            </w:r>
          </w:p>
          <w:p>
            <w:pPr>
              <w:widowControl/>
              <w:adjustRightInd w:val="0"/>
              <w:snapToGrid w:val="0"/>
              <w:spacing w:line="24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屏幕表面采用黄宝石等级7H高硬度强化玻璃</w:t>
            </w:r>
          </w:p>
          <w:p>
            <w:pPr>
              <w:widowControl/>
              <w:adjustRightInd w:val="0"/>
              <w:snapToGrid w:val="0"/>
              <w:spacing w:line="24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采用Super Clear PLS TFT面板</w:t>
            </w:r>
          </w:p>
          <w:p>
            <w:pPr>
              <w:widowControl/>
              <w:adjustRightInd w:val="0"/>
              <w:snapToGrid w:val="0"/>
              <w:spacing w:line="24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表面涂层：抗眩光多层膜</w:t>
            </w:r>
          </w:p>
          <w:p>
            <w:pPr>
              <w:widowControl/>
              <w:adjustRightInd w:val="0"/>
              <w:snapToGrid w:val="0"/>
              <w:spacing w:line="24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Full HD 1080p 全高清显示</w:t>
            </w:r>
          </w:p>
          <w:p>
            <w:pPr>
              <w:widowControl/>
              <w:adjustRightInd w:val="0"/>
              <w:snapToGrid w:val="0"/>
              <w:spacing w:line="24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最佳分辨率：≥1920×1080</w:t>
            </w:r>
          </w:p>
          <w:p>
            <w:pPr>
              <w:widowControl/>
              <w:adjustRightInd w:val="0"/>
              <w:snapToGrid w:val="0"/>
              <w:spacing w:line="24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屏幕比例：16：9</w:t>
            </w:r>
          </w:p>
          <w:p>
            <w:pPr>
              <w:widowControl/>
              <w:adjustRightInd w:val="0"/>
              <w:snapToGrid w:val="0"/>
              <w:spacing w:line="24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对比度：≥3000：1</w:t>
            </w:r>
          </w:p>
          <w:p>
            <w:pPr>
              <w:widowControl/>
              <w:adjustRightInd w:val="0"/>
              <w:snapToGrid w:val="0"/>
              <w:spacing w:line="24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单屏可视区域：≥43英寸</w:t>
            </w:r>
          </w:p>
          <w:p>
            <w:pPr>
              <w:widowControl/>
              <w:adjustRightInd w:val="0"/>
              <w:snapToGrid w:val="0"/>
              <w:spacing w:line="24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电源：12V直流电</w:t>
            </w:r>
          </w:p>
          <w:p>
            <w:pPr>
              <w:widowControl/>
              <w:adjustRightInd w:val="0"/>
              <w:snapToGrid w:val="0"/>
              <w:spacing w:line="240" w:lineRule="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工作温度：0℃~50℃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8" w:hRule="atLeast"/>
        </w:trPr>
        <w:tc>
          <w:tcPr>
            <w:tcW w:w="1838" w:type="dxa"/>
            <w:tcBorders>
              <w:tl2br w:val="nil"/>
              <w:tr2bl w:val="nil"/>
            </w:tcBorders>
            <w:vAlign w:val="center"/>
          </w:tcPr>
          <w:p>
            <w:pPr>
              <w:widowControl/>
              <w:adjustRightInd w:val="0"/>
              <w:snapToGrid w:val="0"/>
              <w:spacing w:line="240" w:lineRule="auto"/>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双目人脸活体识别摄像机</w:t>
            </w:r>
          </w:p>
        </w:tc>
        <w:tc>
          <w:tcPr>
            <w:tcW w:w="7376" w:type="dxa"/>
            <w:tcBorders>
              <w:tl2br w:val="nil"/>
              <w:tr2bl w:val="nil"/>
            </w:tcBorders>
            <w:vAlign w:val="center"/>
          </w:tcPr>
          <w:p>
            <w:pPr>
              <w:widowControl/>
              <w:adjustRightInd w:val="0"/>
              <w:snapToGrid w:val="0"/>
              <w:spacing w:line="240" w:lineRule="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配备≥200W彩色/≥120W黑白双目人脸活体识别摄像机，</w:t>
            </w:r>
          </w:p>
          <w:p>
            <w:pPr>
              <w:widowControl/>
              <w:adjustRightInd w:val="0"/>
              <w:snapToGrid w:val="0"/>
              <w:spacing w:line="240" w:lineRule="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双目摄像头采用HDR（高动态范围）技术，</w:t>
            </w:r>
          </w:p>
          <w:p>
            <w:pPr>
              <w:widowControl/>
              <w:adjustRightInd w:val="0"/>
              <w:snapToGrid w:val="0"/>
              <w:spacing w:line="240" w:lineRule="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需能有效克服传统摄像头强光下人脸过曝，</w:t>
            </w:r>
          </w:p>
          <w:p>
            <w:pPr>
              <w:widowControl/>
              <w:adjustRightInd w:val="0"/>
              <w:snapToGrid w:val="0"/>
              <w:spacing w:line="240" w:lineRule="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强逆光环境下人脸看不清楚等缺点。</w:t>
            </w:r>
          </w:p>
          <w:p>
            <w:pPr>
              <w:widowControl/>
              <w:adjustRightInd w:val="0"/>
              <w:snapToGrid w:val="0"/>
              <w:spacing w:line="240" w:lineRule="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人脸信息计算误差不小于1mm ，</w:t>
            </w:r>
          </w:p>
          <w:p>
            <w:pPr>
              <w:widowControl/>
              <w:adjustRightInd w:val="0"/>
              <w:snapToGrid w:val="0"/>
              <w:spacing w:line="240" w:lineRule="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固定30帧，无拖影 ，0.01Lux 超低照效果 ，</w:t>
            </w:r>
          </w:p>
          <w:p>
            <w:pPr>
              <w:widowControl/>
              <w:adjustRightInd w:val="0"/>
              <w:snapToGrid w:val="0"/>
              <w:spacing w:line="240" w:lineRule="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-30℃~+70℃宽温度范围稳定工作 ，</w:t>
            </w:r>
          </w:p>
          <w:p>
            <w:pPr>
              <w:widowControl/>
              <w:adjustRightInd w:val="0"/>
              <w:snapToGrid w:val="0"/>
              <w:spacing w:line="240" w:lineRule="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低功耗，采用UVC架构。</w:t>
            </w:r>
          </w:p>
          <w:p>
            <w:pPr>
              <w:widowControl/>
              <w:adjustRightInd w:val="0"/>
              <w:snapToGrid w:val="0"/>
              <w:spacing w:line="240" w:lineRule="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外观：支持角度可调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1838" w:type="dxa"/>
            <w:tcBorders>
              <w:tl2br w:val="nil"/>
              <w:tr2bl w:val="nil"/>
            </w:tcBorders>
            <w:vAlign w:val="center"/>
          </w:tcPr>
          <w:p>
            <w:pPr>
              <w:widowControl/>
              <w:adjustRightInd w:val="0"/>
              <w:snapToGrid w:val="0"/>
              <w:spacing w:line="240" w:lineRule="auto"/>
              <w:jc w:val="center"/>
              <w:rPr>
                <w:rFonts w:hint="eastAsia" w:asciiTheme="minorEastAsia" w:hAnsiTheme="minorEastAsia" w:eastAsiaTheme="minorEastAsia" w:cstheme="minorEastAsia"/>
                <w:b/>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★人脸活体识别功能检验</w:t>
            </w:r>
          </w:p>
        </w:tc>
        <w:tc>
          <w:tcPr>
            <w:tcW w:w="7376" w:type="dxa"/>
            <w:tcBorders>
              <w:tl2br w:val="nil"/>
              <w:tr2bl w:val="nil"/>
            </w:tcBorders>
            <w:vAlign w:val="center"/>
          </w:tcPr>
          <w:p>
            <w:pPr>
              <w:widowControl/>
              <w:adjustRightInd w:val="0"/>
              <w:snapToGrid w:val="0"/>
              <w:spacing w:line="240" w:lineRule="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bookmarkStart w:id="5" w:name="_Hlk84264602"/>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具备人脸活体识别功能，能够对活体检测功能进行配置（开启/关闭），支持静默活体检测，活体检测开启时，能够防御二维假体攻击（纸质人脸照片、电子人脸照片和视频人脸）。（投标时须提供公安部检测中心出具的检验报告）</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38" w:type="dxa"/>
            <w:tcBorders>
              <w:tl2br w:val="nil"/>
              <w:tr2bl w:val="nil"/>
            </w:tcBorders>
            <w:vAlign w:val="center"/>
          </w:tcPr>
          <w:p>
            <w:pPr>
              <w:widowControl/>
              <w:adjustRightInd w:val="0"/>
              <w:snapToGrid w:val="0"/>
              <w:spacing w:line="24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彩色激光</w:t>
            </w:r>
          </w:p>
          <w:p>
            <w:pPr>
              <w:widowControl/>
              <w:adjustRightInd w:val="0"/>
              <w:snapToGrid w:val="0"/>
              <w:spacing w:line="24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打印机</w:t>
            </w:r>
          </w:p>
        </w:tc>
        <w:tc>
          <w:tcPr>
            <w:tcW w:w="7376" w:type="dxa"/>
            <w:tcBorders>
              <w:tl2br w:val="nil"/>
              <w:tr2bl w:val="nil"/>
            </w:tcBorders>
            <w:vAlign w:val="center"/>
          </w:tcPr>
          <w:p>
            <w:pPr>
              <w:widowControl/>
              <w:adjustRightInd w:val="0"/>
              <w:snapToGrid w:val="0"/>
              <w:spacing w:line="24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最大打印幅面：A4</w:t>
            </w:r>
          </w:p>
          <w:p>
            <w:pPr>
              <w:widowControl/>
              <w:adjustRightInd w:val="0"/>
              <w:snapToGrid w:val="0"/>
              <w:spacing w:line="24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最高分辨率：1200×1200dpi</w:t>
            </w:r>
          </w:p>
          <w:p>
            <w:pPr>
              <w:widowControl/>
              <w:adjustRightInd w:val="0"/>
              <w:snapToGrid w:val="0"/>
              <w:spacing w:line="24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打印速度（黑白/彩色）：首页打印时间小于6秒，黑白，A4≥40PPM；彩色，A4≥38PPM</w:t>
            </w:r>
          </w:p>
          <w:p>
            <w:pPr>
              <w:widowControl/>
              <w:adjustRightInd w:val="0"/>
              <w:snapToGrid w:val="0"/>
              <w:spacing w:line="24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内存标配：≥512MB</w:t>
            </w:r>
          </w:p>
          <w:p>
            <w:pPr>
              <w:widowControl/>
              <w:adjustRightInd w:val="0"/>
              <w:snapToGrid w:val="0"/>
              <w:spacing w:line="24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处理器：≥512MHz</w:t>
            </w:r>
          </w:p>
          <w:p>
            <w:pPr>
              <w:widowControl/>
              <w:adjustRightInd w:val="0"/>
              <w:snapToGrid w:val="0"/>
              <w:spacing w:line="24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进纸盒容量：标配纸盒≥550页，加配纸盒1个≥550页纸盒</w:t>
            </w:r>
          </w:p>
          <w:p>
            <w:pPr>
              <w:widowControl/>
              <w:adjustRightInd w:val="0"/>
              <w:snapToGrid w:val="0"/>
              <w:spacing w:line="24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介质类型：普通纸，薄纸，再生纸（60-105g/㎡）及铜版纸</w:t>
            </w:r>
          </w:p>
          <w:p>
            <w:pPr>
              <w:widowControl/>
              <w:adjustRightInd w:val="0"/>
              <w:snapToGrid w:val="0"/>
              <w:spacing w:line="24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介质尺寸：支持A4，Letter，B5(JIS)，A5，A6，Executive，Legal，Folio，Mexico Legal，16K（195×270mm）</w:t>
            </w:r>
          </w:p>
          <w:p>
            <w:pPr>
              <w:widowControl/>
              <w:adjustRightInd w:val="0"/>
              <w:snapToGrid w:val="0"/>
              <w:spacing w:line="24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支持缺纸、缺墨、卡纸等预警，来电能够自启动</w:t>
            </w:r>
          </w:p>
          <w:p>
            <w:pPr>
              <w:widowControl/>
              <w:adjustRightInd w:val="0"/>
              <w:snapToGrid w:val="0"/>
              <w:spacing w:line="24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享受原厂免费3年上门保修服务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838" w:type="dxa"/>
            <w:tcBorders>
              <w:tl2br w:val="nil"/>
              <w:tr2bl w:val="nil"/>
            </w:tcBorders>
            <w:vAlign w:val="center"/>
          </w:tcPr>
          <w:p>
            <w:pPr>
              <w:widowControl/>
              <w:adjustRightInd w:val="0"/>
              <w:snapToGrid w:val="0"/>
              <w:spacing w:line="24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校园一卡通读卡器</w:t>
            </w:r>
          </w:p>
        </w:tc>
        <w:tc>
          <w:tcPr>
            <w:tcW w:w="7376" w:type="dxa"/>
            <w:tcBorders>
              <w:tl2br w:val="nil"/>
              <w:tr2bl w:val="nil"/>
            </w:tcBorders>
            <w:vAlign w:val="center"/>
          </w:tcPr>
          <w:p>
            <w:pPr>
              <w:adjustRightInd w:val="0"/>
              <w:snapToGrid w:val="0"/>
              <w:spacing w:line="24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安装适配校园卡读卡器，确保能对接学校现用校园一卡通系统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838" w:type="dxa"/>
            <w:tcBorders>
              <w:tl2br w:val="nil"/>
              <w:tr2bl w:val="nil"/>
            </w:tcBorders>
            <w:vAlign w:val="center"/>
          </w:tcPr>
          <w:p>
            <w:pPr>
              <w:widowControl/>
              <w:adjustRightInd w:val="0"/>
              <w:snapToGrid w:val="0"/>
              <w:spacing w:line="24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★内置式居民身份证阅读机具</w:t>
            </w:r>
          </w:p>
        </w:tc>
        <w:tc>
          <w:tcPr>
            <w:tcW w:w="7376" w:type="dxa"/>
            <w:tcBorders>
              <w:tl2br w:val="nil"/>
              <w:tr2bl w:val="nil"/>
            </w:tcBorders>
            <w:vAlign w:val="center"/>
          </w:tcPr>
          <w:p>
            <w:pPr>
              <w:widowControl/>
              <w:adjustRightInd w:val="0"/>
              <w:snapToGrid w:val="0"/>
              <w:spacing w:line="24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采用USB供电及通讯；</w:t>
            </w:r>
          </w:p>
          <w:p>
            <w:pPr>
              <w:widowControl/>
              <w:adjustRightInd w:val="0"/>
              <w:snapToGrid w:val="0"/>
              <w:spacing w:line="24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平均无故障工作时间（MTBF）不小于5000h；</w:t>
            </w:r>
          </w:p>
          <w:p>
            <w:pPr>
              <w:widowControl/>
              <w:adjustRightInd w:val="0"/>
              <w:snapToGrid w:val="0"/>
              <w:spacing w:line="24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工作频率：13.56MHz，支持证卡。</w:t>
            </w:r>
          </w:p>
          <w:p>
            <w:pPr>
              <w:widowControl/>
              <w:adjustRightInd w:val="0"/>
              <w:snapToGrid w:val="0"/>
              <w:spacing w:line="24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必须符合GA 450-2013《台式居民身份证阅读器通用技术要求》和符合GA 467-2013《居民身份证验证安全控制模块接口技术规范》，投标时须提供所供设备公安部检测中心出具的检测报告和中国公共安全产品认证证书。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838" w:type="dxa"/>
            <w:tcBorders>
              <w:tl2br w:val="nil"/>
              <w:tr2bl w:val="nil"/>
            </w:tcBorders>
            <w:vAlign w:val="center"/>
          </w:tcPr>
          <w:p>
            <w:pPr>
              <w:widowControl/>
              <w:adjustRightInd w:val="0"/>
              <w:snapToGrid w:val="0"/>
              <w:spacing w:line="24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音频</w:t>
            </w:r>
          </w:p>
        </w:tc>
        <w:tc>
          <w:tcPr>
            <w:tcW w:w="7376" w:type="dxa"/>
            <w:tcBorders>
              <w:tl2br w:val="nil"/>
              <w:tr2bl w:val="nil"/>
            </w:tcBorders>
            <w:vAlign w:val="center"/>
          </w:tcPr>
          <w:p>
            <w:pPr>
              <w:adjustRightInd w:val="0"/>
              <w:snapToGrid w:val="0"/>
              <w:spacing w:line="24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立体声功效音响:功放功率：2.2W 喇叭功率:5W频响：100Hz~20KHz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838" w:type="dxa"/>
            <w:tcBorders>
              <w:tl2br w:val="nil"/>
              <w:tr2bl w:val="nil"/>
            </w:tcBorders>
            <w:vAlign w:val="center"/>
          </w:tcPr>
          <w:p>
            <w:pPr>
              <w:widowControl/>
              <w:adjustRightInd w:val="0"/>
              <w:snapToGrid w:val="0"/>
              <w:spacing w:line="24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二维码阅读器</w:t>
            </w:r>
          </w:p>
        </w:tc>
        <w:tc>
          <w:tcPr>
            <w:tcW w:w="7376" w:type="dxa"/>
            <w:tcBorders>
              <w:tl2br w:val="nil"/>
              <w:tr2bl w:val="nil"/>
            </w:tcBorders>
            <w:vAlign w:val="center"/>
          </w:tcPr>
          <w:p>
            <w:pPr>
              <w:adjustRightInd w:val="0"/>
              <w:snapToGrid w:val="0"/>
              <w:spacing w:line="24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识别方式：靠近、接近识读；识别精度：&gt;=7.5mil；采集速度：1/60秒；接口：USB；支持码制：通用一维码、二维码标准。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838" w:type="dxa"/>
            <w:tcBorders>
              <w:tl2br w:val="nil"/>
              <w:tr2bl w:val="nil"/>
            </w:tcBorders>
            <w:vAlign w:val="center"/>
          </w:tcPr>
          <w:p>
            <w:pPr>
              <w:widowControl/>
              <w:adjustRightInd w:val="0"/>
              <w:snapToGrid w:val="0"/>
              <w:spacing w:line="24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终端安全节能监测模块</w:t>
            </w:r>
          </w:p>
        </w:tc>
        <w:tc>
          <w:tcPr>
            <w:tcW w:w="7376" w:type="dxa"/>
            <w:tcBorders>
              <w:tl2br w:val="nil"/>
              <w:tr2bl w:val="nil"/>
            </w:tcBorders>
            <w:vAlign w:val="center"/>
          </w:tcPr>
          <w:p>
            <w:pPr>
              <w:adjustRightInd w:val="0"/>
              <w:snapToGrid w:val="0"/>
              <w:spacing w:line="24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可对终端整机设备进行安全节能控制，可设置定时开启和关闭设备的时间。可对打印机，主机，显示器的电源分别进行开关控制，可通过系统可视化实时对终端整机设备的运行状态、电压、电流、功率、耗电、温度、湿度情况进行实时监控检测、异常预警、自动断电处理，保证设备安全、避免发生险情。</w:t>
            </w:r>
          </w:p>
          <w:p>
            <w:pPr>
              <w:adjustRightInd w:val="0"/>
              <w:snapToGrid w:val="0"/>
              <w:spacing w:line="24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要求可在自助终端上可视化展示可对终端整机设备的运行状态、电压、电流、功率、耗电、温度、湿度情况进行实时监控检测。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838" w:type="dxa"/>
            <w:tcBorders>
              <w:tl2br w:val="nil"/>
              <w:tr2bl w:val="nil"/>
            </w:tcBorders>
            <w:vAlign w:val="center"/>
          </w:tcPr>
          <w:p>
            <w:pPr>
              <w:widowControl/>
              <w:adjustRightInd w:val="0"/>
              <w:snapToGrid w:val="0"/>
              <w:spacing w:line="24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rPr>
              <w:t>★设</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备数字证书</w:t>
            </w:r>
          </w:p>
        </w:tc>
        <w:tc>
          <w:tcPr>
            <w:tcW w:w="7376" w:type="dxa"/>
            <w:tcBorders>
              <w:tl2br w:val="nil"/>
              <w:tr2bl w:val="nil"/>
            </w:tcBorders>
            <w:vAlign w:val="center"/>
          </w:tcPr>
          <w:p>
            <w:pPr>
              <w:adjustRightInd w:val="0"/>
              <w:snapToGrid w:val="0"/>
              <w:spacing w:line="24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每台自助服务终端配备1个硬件U-key；</w:t>
            </w:r>
          </w:p>
          <w:p>
            <w:pPr>
              <w:adjustRightInd w:val="0"/>
              <w:snapToGrid w:val="0"/>
              <w:spacing w:line="24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用于标识自助终端获得合法使用授权的网络真实身份，自助服务终端只有插入合法授权的设备数字证书U-key才能启用终端程序，设备数字证书采用 SM2 国产算法签发，证书格式遵循x.509v3 标准。设备数字证书颁发机构必须具有中华人民共和国工业和信息化部颁发的《电子认证服务许可证》以及国家密码管理局颁发的《电子认证服务使用密码许可证》和《电子政务电子认证服务机构证书》，投标时须提供以上三项证书复印件加盖颁发机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838" w:type="dxa"/>
            <w:tcBorders>
              <w:tl2br w:val="nil"/>
              <w:tr2bl w:val="nil"/>
            </w:tcBorders>
            <w:vAlign w:val="center"/>
          </w:tcPr>
          <w:p>
            <w:pPr>
              <w:widowControl/>
              <w:adjustRightInd w:val="0"/>
              <w:snapToGrid w:val="0"/>
              <w:spacing w:line="24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机柜</w:t>
            </w:r>
          </w:p>
        </w:tc>
        <w:tc>
          <w:tcPr>
            <w:tcW w:w="7376" w:type="dxa"/>
            <w:tcBorders>
              <w:tl2br w:val="nil"/>
              <w:tr2bl w:val="nil"/>
            </w:tcBorders>
            <w:vAlign w:val="center"/>
          </w:tcPr>
          <w:p>
            <w:pPr>
              <w:pStyle w:val="51"/>
              <w:spacing w:line="24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整机外观：颜色素雅大方，整体设计符合人体工程学，布局合理，工艺精细；</w:t>
            </w:r>
          </w:p>
          <w:p>
            <w:pPr>
              <w:pStyle w:val="51"/>
              <w:spacing w:line="24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整机尺寸：≤2080（高）*685（宽）*712（深）；</w:t>
            </w:r>
          </w:p>
          <w:p>
            <w:pPr>
              <w:pStyle w:val="51"/>
              <w:spacing w:line="24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材料：钢板厚度≥1.5mm；</w:t>
            </w:r>
          </w:p>
          <w:p>
            <w:pPr>
              <w:pStyle w:val="51"/>
              <w:spacing w:line="24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表层处理：喷塑或金属烤漆，防锈、防水、防腐蚀、耐磨处理；</w:t>
            </w:r>
          </w:p>
          <w:p>
            <w:pPr>
              <w:pStyle w:val="51"/>
              <w:spacing w:line="24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工作相对湿度要求：≤85%；</w:t>
            </w:r>
          </w:p>
          <w:p>
            <w:pPr>
              <w:pStyle w:val="51"/>
              <w:spacing w:line="24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防尘：满足高灰尘环境下稳定运行要求；</w:t>
            </w:r>
          </w:p>
          <w:p>
            <w:pPr>
              <w:pStyle w:val="51"/>
              <w:spacing w:line="24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终端工作电压：AC220V±10%，功耗：&lt;200W；</w:t>
            </w:r>
          </w:p>
          <w:p>
            <w:pPr>
              <w:pStyle w:val="51"/>
              <w:spacing w:line="24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强弱电分开走线，使用线材符合3C标准，每条线两头需要标注序号；</w:t>
            </w:r>
          </w:p>
          <w:p>
            <w:pPr>
              <w:adjustRightInd w:val="0"/>
              <w:snapToGrid w:val="0"/>
              <w:spacing w:line="240" w:lineRule="auto"/>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前门维护，配置重型抽拉导轨，方便打印机维护。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838" w:type="dxa"/>
            <w:tcBorders>
              <w:tl2br w:val="nil"/>
              <w:tr2bl w:val="nil"/>
            </w:tcBorders>
            <w:vAlign w:val="center"/>
          </w:tcPr>
          <w:p>
            <w:pPr>
              <w:widowControl/>
              <w:adjustRightInd w:val="0"/>
              <w:snapToGrid w:val="0"/>
              <w:spacing w:line="240" w:lineRule="auto"/>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可扩展能力</w:t>
            </w:r>
          </w:p>
        </w:tc>
        <w:tc>
          <w:tcPr>
            <w:tcW w:w="7376" w:type="dxa"/>
            <w:tcBorders>
              <w:tl2br w:val="nil"/>
              <w:tr2bl w:val="nil"/>
            </w:tcBorders>
            <w:vAlign w:val="center"/>
          </w:tcPr>
          <w:p>
            <w:pPr>
              <w:pStyle w:val="45"/>
              <w:numPr>
                <w:ilvl w:val="0"/>
                <w:numId w:val="5"/>
              </w:numPr>
              <w:adjustRightInd w:val="0"/>
              <w:snapToGrid w:val="0"/>
              <w:spacing w:line="240" w:lineRule="auto"/>
              <w:ind w:firstLineChars="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机柜预留学生证火车票优惠卡充磁器位置：可安装火车票充值设备，支持充磁器嵌入自助服务终端；</w:t>
            </w:r>
          </w:p>
          <w:p>
            <w:pPr>
              <w:pStyle w:val="45"/>
              <w:numPr>
                <w:ilvl w:val="0"/>
                <w:numId w:val="5"/>
              </w:numPr>
              <w:adjustRightInd w:val="0"/>
              <w:snapToGrid w:val="0"/>
              <w:spacing w:line="240" w:lineRule="auto"/>
              <w:ind w:firstLineChars="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机柜预留安装标签打印机位置和标签出纸口；</w:t>
            </w:r>
          </w:p>
          <w:p>
            <w:pPr>
              <w:pStyle w:val="45"/>
              <w:numPr>
                <w:ilvl w:val="0"/>
                <w:numId w:val="5"/>
              </w:numPr>
              <w:adjustRightInd w:val="0"/>
              <w:snapToGrid w:val="0"/>
              <w:spacing w:line="240" w:lineRule="auto"/>
              <w:ind w:firstLineChars="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机柜预留安装语言识别阵列组件，支持语言识别；</w:t>
            </w:r>
          </w:p>
        </w:tc>
      </w:tr>
      <w:bookmarkEnd w:id="4"/>
    </w:tbl>
    <w:p>
      <w:pPr>
        <w:numPr>
          <w:ilvl w:val="0"/>
          <w:numId w:val="0"/>
        </w:numPr>
        <w:spacing w:line="360" w:lineRule="auto"/>
        <w:rPr>
          <w:b/>
          <w:color w:val="C00000"/>
          <w:sz w:val="28"/>
          <w:szCs w:val="28"/>
        </w:rPr>
      </w:pPr>
      <w:r>
        <w:rPr>
          <w:rFonts w:hint="eastAsia"/>
          <w:b/>
          <w:color w:val="C00000"/>
          <w:sz w:val="28"/>
          <w:szCs w:val="28"/>
          <w:lang w:eastAsia="zh-CN"/>
        </w:rPr>
        <w:t>㈡</w:t>
      </w:r>
      <w:r>
        <w:rPr>
          <w:rFonts w:hint="eastAsia"/>
          <w:b/>
          <w:color w:val="C00000"/>
          <w:sz w:val="28"/>
          <w:szCs w:val="28"/>
        </w:rPr>
        <w:t>智能服务软件平台</w:t>
      </w:r>
    </w:p>
    <w:p>
      <w:pPr>
        <w:tabs>
          <w:tab w:val="left" w:pos="360"/>
        </w:tabs>
        <w:spacing w:line="360" w:lineRule="auto"/>
        <w:ind w:firstLine="422" w:firstLineChars="200"/>
        <w:rPr>
          <w:bCs/>
        </w:rPr>
      </w:pPr>
      <w:r>
        <w:rPr>
          <w:rFonts w:hint="eastAsia"/>
          <w:b/>
          <w:bCs/>
        </w:rPr>
        <w:t>▲</w:t>
      </w:r>
      <w:r>
        <w:rPr>
          <w:rFonts w:hint="eastAsia"/>
          <w:bCs/>
        </w:rPr>
        <w:t>根据国家对教育行业信息安全等级保护工作的要求，本次采购的智能服务软件需符合“网络安全等级保护2.0”相关技术标准，项目建设完成后，采购人可选择符合《信息安全等级保护管理办法》规定条件的测评机构，依据《信息系统安全等级保护测评要求》等技术标准，对投标供应商所部署的软件产品信息系统安全等级状况开展等级测评。为证明投标人所投产品在建设交付前已基本符合“网络安全等级保护2.0”相关技术标准，属于成熟稳定产品，投标人投标时须提供公安部门颁发的《信息安全等级保护备案证明》和《网络安全等级保护测评报告》复印件等证明材料。</w:t>
      </w:r>
    </w:p>
    <w:p>
      <w:pPr>
        <w:pStyle w:val="7"/>
        <w:spacing w:before="0" w:after="0" w:line="415" w:lineRule="auto"/>
        <w:rPr>
          <w:rFonts w:ascii="宋体" w:hAnsi="宋体" w:eastAsia="宋体"/>
          <w:b w:val="0"/>
          <w:bCs w:val="0"/>
          <w:sz w:val="28"/>
          <w:szCs w:val="28"/>
        </w:rPr>
      </w:pPr>
      <w:bookmarkStart w:id="6" w:name="_Toc18547"/>
      <w:r>
        <w:rPr>
          <w:rStyle w:val="37"/>
          <w:rFonts w:ascii="宋体" w:hAnsi="宋体" w:eastAsia="宋体"/>
          <w:b/>
          <w:bCs/>
          <w:sz w:val="28"/>
          <w:szCs w:val="28"/>
        </w:rPr>
        <w:t>1</w:t>
      </w:r>
      <w:r>
        <w:rPr>
          <w:rStyle w:val="37"/>
          <w:rFonts w:hint="eastAsia" w:ascii="宋体" w:hAnsi="宋体" w:eastAsia="宋体"/>
          <w:b/>
          <w:bCs/>
          <w:sz w:val="28"/>
          <w:szCs w:val="28"/>
        </w:rPr>
        <w:t>、一站式服务系统</w:t>
      </w:r>
      <w:bookmarkEnd w:id="6"/>
    </w:p>
    <w:p>
      <w:pPr>
        <w:tabs>
          <w:tab w:val="left" w:pos="360"/>
        </w:tabs>
        <w:spacing w:line="360" w:lineRule="auto"/>
      </w:pPr>
      <w:r>
        <w:rPr>
          <w:rFonts w:hint="eastAsia"/>
          <w:b/>
          <w:bCs/>
          <w:kern w:val="0"/>
        </w:rPr>
        <w:t>1.1登录认证模块</w:t>
      </w:r>
      <w:r>
        <w:rPr>
          <w:rFonts w:hint="eastAsia"/>
          <w:kern w:val="0"/>
        </w:rPr>
        <w:br w:type="textWrapping"/>
      </w:r>
      <w:r>
        <w:rPr>
          <w:rFonts w:hint="eastAsia"/>
          <w:kern w:val="0"/>
        </w:rPr>
        <w:t xml:space="preserve"> </w:t>
      </w:r>
      <w:r>
        <w:rPr>
          <w:kern w:val="0"/>
        </w:rPr>
        <w:t xml:space="preserve">   </w:t>
      </w:r>
      <w:r>
        <w:rPr>
          <w:rFonts w:hint="eastAsia"/>
          <w:kern w:val="0"/>
        </w:rPr>
        <w:t>系统支持学生可在终端设备上选择：人脸活体识别登录、刷校园卡登录、刷身份证登录、手工输入与学校现用数字校园相同的帐号、密码进行身份认证。</w:t>
      </w:r>
      <w:r>
        <w:rPr>
          <w:rFonts w:hint="eastAsia"/>
          <w:kern w:val="0"/>
        </w:rPr>
        <w:br w:type="textWrapping"/>
      </w:r>
      <w:r>
        <w:rPr>
          <w:rFonts w:hint="eastAsia"/>
          <w:b/>
          <w:bCs/>
          <w:kern w:val="0"/>
        </w:rPr>
        <w:t>1.2智能查询及打印服务</w:t>
      </w:r>
      <w:r>
        <w:rPr>
          <w:rFonts w:hint="eastAsia"/>
          <w:kern w:val="0"/>
        </w:rPr>
        <w:br w:type="textWrapping"/>
      </w:r>
      <w:r>
        <w:rPr>
          <w:rFonts w:hint="eastAsia"/>
          <w:kern w:val="0"/>
        </w:rPr>
        <w:t xml:space="preserve"> </w:t>
      </w:r>
      <w:r>
        <w:rPr>
          <w:kern w:val="0"/>
        </w:rPr>
        <w:t xml:space="preserve">   </w:t>
      </w:r>
      <w:r>
        <w:rPr>
          <w:rFonts w:hint="eastAsia"/>
        </w:rPr>
        <w:t>教师可以在自助终端机上自助查询并打印输出所需各类证明文件，如：在职证明、收入证明、离职证明、无犯罪记录证明、亲属关系证明等。</w:t>
      </w:r>
      <w:r>
        <w:rPr>
          <w:rFonts w:hint="eastAsia"/>
          <w:kern w:val="0"/>
        </w:rPr>
        <w:t>具体依据学校实际需求个性化定制。</w:t>
      </w:r>
    </w:p>
    <w:p>
      <w:pPr>
        <w:tabs>
          <w:tab w:val="left" w:pos="360"/>
        </w:tabs>
        <w:spacing w:line="360" w:lineRule="auto"/>
        <w:ind w:firstLine="420" w:firstLineChars="200"/>
        <w:rPr>
          <w:kern w:val="0"/>
        </w:rPr>
      </w:pPr>
      <w:r>
        <w:rPr>
          <w:rFonts w:hint="eastAsia"/>
        </w:rPr>
        <w:t>学生可以在自助终端机上自助查询并打印输出所需的各类成绩单及证明文件，如：中文成绩单、中英文成绩单、在学证明、学历证明、学位证明、大学英语四六级成绩证明、计算机等级考试证明等；同时可为学生提供自助打印获奖证明及荣誉证书。</w:t>
      </w:r>
      <w:r>
        <w:rPr>
          <w:rFonts w:hint="eastAsia"/>
          <w:kern w:val="0"/>
        </w:rPr>
        <w:t>具体依据学校实际需求个性化定制。</w:t>
      </w:r>
    </w:p>
    <w:p>
      <w:pPr>
        <w:tabs>
          <w:tab w:val="left" w:pos="360"/>
        </w:tabs>
        <w:spacing w:line="360" w:lineRule="auto"/>
        <w:rPr>
          <w:b/>
          <w:bCs/>
          <w:kern w:val="0"/>
        </w:rPr>
      </w:pPr>
      <w:bookmarkStart w:id="7" w:name="_Hlk84264471"/>
      <w:r>
        <w:rPr>
          <w:rFonts w:hint="eastAsia"/>
          <w:b/>
          <w:bCs/>
          <w:kern w:val="0"/>
        </w:rPr>
        <w:t>1</w:t>
      </w:r>
      <w:r>
        <w:rPr>
          <w:b/>
          <w:bCs/>
          <w:kern w:val="0"/>
        </w:rPr>
        <w:t>.</w:t>
      </w:r>
      <w:r>
        <w:rPr>
          <w:rFonts w:hint="eastAsia"/>
          <w:b/>
          <w:bCs/>
          <w:kern w:val="0"/>
        </w:rPr>
        <w:t>3</w:t>
      </w:r>
      <w:r>
        <w:rPr>
          <w:b/>
          <w:bCs/>
          <w:kern w:val="0"/>
        </w:rPr>
        <w:t xml:space="preserve"> </w:t>
      </w:r>
      <w:r>
        <w:rPr>
          <w:rFonts w:hint="eastAsia"/>
          <w:b/>
          <w:bCs/>
          <w:kern w:val="0"/>
        </w:rPr>
        <w:t>快捷打印</w:t>
      </w:r>
    </w:p>
    <w:p>
      <w:pPr>
        <w:tabs>
          <w:tab w:val="left" w:pos="360"/>
        </w:tabs>
        <w:spacing w:line="360" w:lineRule="auto"/>
        <w:ind w:firstLine="420" w:firstLineChars="200"/>
        <w:rPr>
          <w:kern w:val="0"/>
        </w:rPr>
      </w:pPr>
      <w:r>
        <w:rPr>
          <w:rFonts w:hint="eastAsia"/>
          <w:kern w:val="0"/>
        </w:rPr>
        <w:t>用户通过“手机端”选择已申请的电子凭证内容（如“电子成绩单”等），即可显示对应“二维码”，通过自助打印终端内置“二维码阅读器”扫描该“二维码”即可快捷打印输出“纸质成绩单”。</w:t>
      </w:r>
    </w:p>
    <w:bookmarkEnd w:id="7"/>
    <w:p>
      <w:pPr>
        <w:tabs>
          <w:tab w:val="left" w:pos="360"/>
        </w:tabs>
        <w:spacing w:line="360" w:lineRule="auto"/>
        <w:rPr>
          <w:b/>
          <w:bCs/>
        </w:rPr>
      </w:pPr>
      <w:bookmarkStart w:id="8" w:name="_Hlk84259403"/>
      <w:r>
        <w:rPr>
          <w:rFonts w:hint="eastAsia"/>
          <w:b/>
          <w:bCs/>
        </w:rPr>
        <w:t>1.4区块链电子云签章服务</w:t>
      </w:r>
    </w:p>
    <w:p>
      <w:pPr>
        <w:widowControl/>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区块链云签章服务：通过区块链云平台的模式实现成绩单电子签章认证、数字签名、签章等服务。区块链平台对上链数据进行数字签名、签名验证。实现系统签发的每份成绩单都具有唯一的哈希码。</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区块链时间戳云服务：通过区块链云平台的模式提供电子成绩单时间戳签名服务，支持权威可信时间源。区块链平台对成绩单数据上链共识、排序、记账、查询全流程提供时间戳服务。实现系统输出的每份成绩单都具有精准的时间戳。</w:t>
      </w:r>
    </w:p>
    <w:bookmarkEnd w:id="8"/>
    <w:p>
      <w:pPr>
        <w:widowControl/>
        <w:spacing w:line="360" w:lineRule="auto"/>
        <w:jc w:val="left"/>
        <w:rPr>
          <w:kern w:val="0"/>
        </w:rPr>
      </w:pPr>
      <w:r>
        <w:rPr>
          <w:rFonts w:hint="eastAsia"/>
          <w:b/>
          <w:bCs/>
          <w:kern w:val="0"/>
        </w:rPr>
        <w:t>1.5 委托打印</w:t>
      </w:r>
      <w:r>
        <w:rPr>
          <w:rFonts w:hint="eastAsia"/>
          <w:kern w:val="0"/>
        </w:rPr>
        <w:br w:type="textWrapping"/>
      </w:r>
      <w:r>
        <w:rPr>
          <w:rFonts w:hint="eastAsia"/>
          <w:kern w:val="0"/>
        </w:rPr>
        <w:t xml:space="preserve"> </w:t>
      </w:r>
      <w:r>
        <w:rPr>
          <w:kern w:val="0"/>
        </w:rPr>
        <w:t xml:space="preserve">   </w:t>
      </w:r>
      <w:r>
        <w:rPr>
          <w:rFonts w:hint="eastAsia"/>
          <w:kern w:val="0"/>
        </w:rPr>
        <w:t>校外学生（实习或出国）急需成绩单或者证明文件，可以登录自助打印服务系统，提交委托单，委托在校同学打印；受托人接受委托后，在自助终端以受托人身份登录，帮助委托人完成打印需求。</w:t>
      </w:r>
      <w:r>
        <w:rPr>
          <w:rFonts w:hint="eastAsia"/>
          <w:kern w:val="0"/>
        </w:rPr>
        <w:br w:type="textWrapping"/>
      </w:r>
      <w:r>
        <w:rPr>
          <w:rFonts w:hint="eastAsia"/>
          <w:b/>
          <w:bCs/>
          <w:kern w:val="0"/>
        </w:rPr>
        <w:t>1.6自助缴费</w:t>
      </w:r>
      <w:r>
        <w:rPr>
          <w:rFonts w:hint="eastAsia"/>
          <w:kern w:val="0"/>
        </w:rPr>
        <w:br w:type="textWrapping"/>
      </w:r>
      <w:r>
        <w:rPr>
          <w:rFonts w:hint="eastAsia"/>
          <w:kern w:val="0"/>
        </w:rPr>
        <w:t xml:space="preserve"> </w:t>
      </w:r>
      <w:r>
        <w:rPr>
          <w:kern w:val="0"/>
        </w:rPr>
        <w:t xml:space="preserve">   </w:t>
      </w:r>
      <w:r>
        <w:rPr>
          <w:rFonts w:hint="eastAsia"/>
          <w:kern w:val="0"/>
        </w:rPr>
        <w:t>系统支持校园卡自助缴费方式，实现在校学生及毕业生自助完成打印所需缴费的成绩单或证明文件。并可实现“代缴费”功能，缴费项目由管理人员自行设定即可实现自助缴费。</w:t>
      </w:r>
    </w:p>
    <w:p>
      <w:pPr>
        <w:widowControl/>
        <w:spacing w:line="360" w:lineRule="auto"/>
        <w:jc w:val="left"/>
        <w:rPr>
          <w:kern w:val="0"/>
        </w:rPr>
      </w:pPr>
      <w:r>
        <w:rPr>
          <w:rFonts w:hint="eastAsia"/>
          <w:kern w:val="0"/>
        </w:rPr>
        <w:t>★</w:t>
      </w:r>
      <w:r>
        <w:rPr>
          <w:rFonts w:hint="eastAsia"/>
          <w:b/>
          <w:bCs/>
          <w:kern w:val="0"/>
        </w:rPr>
        <w:t>1</w:t>
      </w:r>
      <w:r>
        <w:rPr>
          <w:b/>
          <w:bCs/>
          <w:kern w:val="0"/>
        </w:rPr>
        <w:t>.</w:t>
      </w:r>
      <w:r>
        <w:rPr>
          <w:rFonts w:hint="eastAsia"/>
          <w:b/>
          <w:bCs/>
          <w:kern w:val="0"/>
        </w:rPr>
        <w:t>7人脸识别自助学籍注册报到</w:t>
      </w:r>
    </w:p>
    <w:p>
      <w:pPr>
        <w:widowControl/>
        <w:spacing w:line="360" w:lineRule="auto"/>
        <w:jc w:val="left"/>
        <w:rPr>
          <w:kern w:val="0"/>
        </w:rPr>
      </w:pPr>
      <w:r>
        <w:rPr>
          <w:kern w:val="0"/>
        </w:rPr>
        <w:t xml:space="preserve">    终端软件中包含学籍注册人脸比对模块，可通过终端进行人脸识别学籍注册，可将现场验证的人脸照片与学籍照片、身份证信息与学籍信息进行比对，可自动判断学生学籍状态和缴费状态。（投标时须提供</w:t>
      </w:r>
      <w:r>
        <w:rPr>
          <w:rFonts w:hint="eastAsia"/>
          <w:kern w:val="0"/>
        </w:rPr>
        <w:t>公安部检测中心</w:t>
      </w:r>
      <w:r>
        <w:rPr>
          <w:kern w:val="0"/>
        </w:rPr>
        <w:t>出具的检验报告）</w:t>
      </w:r>
    </w:p>
    <w:p>
      <w:pPr>
        <w:widowControl/>
        <w:spacing w:line="360" w:lineRule="auto"/>
        <w:ind w:firstLine="420"/>
        <w:jc w:val="left"/>
        <w:rPr>
          <w:kern w:val="0"/>
        </w:rPr>
      </w:pPr>
      <w:r>
        <w:rPr>
          <w:kern w:val="0"/>
        </w:rPr>
        <w:fldChar w:fldCharType="begin"/>
      </w:r>
      <w:r>
        <w:rPr>
          <w:kern w:val="0"/>
        </w:rPr>
        <w:instrText xml:space="preserve"> </w:instrText>
      </w:r>
      <w:r>
        <w:rPr>
          <w:rFonts w:hint="eastAsia"/>
          <w:kern w:val="0"/>
        </w:rPr>
        <w:instrText xml:space="preserve">= 1 \* GB3</w:instrText>
      </w:r>
      <w:r>
        <w:rPr>
          <w:kern w:val="0"/>
        </w:rPr>
        <w:instrText xml:space="preserve"> </w:instrText>
      </w:r>
      <w:r>
        <w:rPr>
          <w:kern w:val="0"/>
        </w:rPr>
        <w:fldChar w:fldCharType="separate"/>
      </w:r>
      <w:r>
        <w:rPr>
          <w:rFonts w:hint="eastAsia"/>
          <w:kern w:val="0"/>
        </w:rPr>
        <w:t>①</w:t>
      </w:r>
      <w:r>
        <w:rPr>
          <w:kern w:val="0"/>
        </w:rPr>
        <w:fldChar w:fldCharType="end"/>
      </w:r>
      <w:r>
        <w:rPr>
          <w:kern w:val="0"/>
        </w:rPr>
        <w:t>人脸识别高度和遮挡识别功能检验（以公安部</w:t>
      </w:r>
      <w:r>
        <w:rPr>
          <w:rFonts w:hint="eastAsia"/>
          <w:kern w:val="0"/>
        </w:rPr>
        <w:t>检测中心</w:t>
      </w:r>
      <w:r>
        <w:rPr>
          <w:kern w:val="0"/>
        </w:rPr>
        <w:t>检验报告为准）</w:t>
      </w:r>
    </w:p>
    <w:p>
      <w:pPr>
        <w:widowControl/>
        <w:spacing w:line="360" w:lineRule="auto"/>
        <w:jc w:val="left"/>
        <w:rPr>
          <w:kern w:val="0"/>
        </w:rPr>
      </w:pPr>
      <w:r>
        <w:rPr>
          <w:rFonts w:hint="eastAsia"/>
          <w:kern w:val="0"/>
        </w:rPr>
        <w:t>人脸识别高度：</w:t>
      </w:r>
      <w:r>
        <w:rPr>
          <w:kern w:val="0"/>
        </w:rPr>
        <w:t>1.2m -2.2m。支持对戴眼镜、留胡子、刘海等遮挡人脸进行识别。</w:t>
      </w:r>
    </w:p>
    <w:p>
      <w:pPr>
        <w:widowControl/>
        <w:spacing w:line="360" w:lineRule="auto"/>
        <w:ind w:firstLine="420"/>
        <w:jc w:val="left"/>
        <w:rPr>
          <w:kern w:val="0"/>
        </w:rPr>
      </w:pPr>
      <w:r>
        <w:rPr>
          <w:kern w:val="0"/>
        </w:rPr>
        <w:fldChar w:fldCharType="begin"/>
      </w:r>
      <w:r>
        <w:rPr>
          <w:kern w:val="0"/>
        </w:rPr>
        <w:instrText xml:space="preserve"> </w:instrText>
      </w:r>
      <w:r>
        <w:rPr>
          <w:rFonts w:hint="eastAsia"/>
          <w:kern w:val="0"/>
        </w:rPr>
        <w:instrText xml:space="preserve">= 2 \* GB3</w:instrText>
      </w:r>
      <w:r>
        <w:rPr>
          <w:kern w:val="0"/>
        </w:rPr>
        <w:instrText xml:space="preserve"> </w:instrText>
      </w:r>
      <w:r>
        <w:rPr>
          <w:kern w:val="0"/>
        </w:rPr>
        <w:fldChar w:fldCharType="separate"/>
      </w:r>
      <w:r>
        <w:rPr>
          <w:rFonts w:hint="eastAsia"/>
          <w:kern w:val="0"/>
        </w:rPr>
        <w:t>②</w:t>
      </w:r>
      <w:r>
        <w:rPr>
          <w:kern w:val="0"/>
        </w:rPr>
        <w:fldChar w:fldCharType="end"/>
      </w:r>
      <w:r>
        <w:rPr>
          <w:kern w:val="0"/>
        </w:rPr>
        <w:t>人脸比对方式检验（以公安部</w:t>
      </w:r>
      <w:r>
        <w:rPr>
          <w:rFonts w:hint="eastAsia"/>
          <w:kern w:val="0"/>
        </w:rPr>
        <w:t>检测中心</w:t>
      </w:r>
      <w:r>
        <w:rPr>
          <w:kern w:val="0"/>
        </w:rPr>
        <w:t>检验报告为准）</w:t>
      </w:r>
    </w:p>
    <w:p>
      <w:pPr>
        <w:widowControl/>
        <w:spacing w:line="360" w:lineRule="auto"/>
        <w:jc w:val="left"/>
        <w:rPr>
          <w:kern w:val="0"/>
        </w:rPr>
      </w:pPr>
      <w:r>
        <w:rPr>
          <w:rFonts w:hint="eastAsia"/>
          <w:kern w:val="0"/>
        </w:rPr>
        <w:t>可将现场采集的人脸图像与居民身份证内的人脸图像进行比对（</w:t>
      </w:r>
      <w:r>
        <w:rPr>
          <w:kern w:val="0"/>
        </w:rPr>
        <w:t>1：1）或与终端系统中已存储的人脸图像进行比对（1：N）两种比对方式。</w:t>
      </w:r>
    </w:p>
    <w:p>
      <w:pPr>
        <w:widowControl/>
        <w:spacing w:line="360" w:lineRule="auto"/>
        <w:ind w:firstLine="420"/>
        <w:jc w:val="left"/>
        <w:rPr>
          <w:kern w:val="0"/>
        </w:rPr>
      </w:pPr>
      <w:r>
        <w:rPr>
          <w:kern w:val="0"/>
        </w:rPr>
        <w:fldChar w:fldCharType="begin"/>
      </w:r>
      <w:r>
        <w:rPr>
          <w:kern w:val="0"/>
        </w:rPr>
        <w:instrText xml:space="preserve"> </w:instrText>
      </w:r>
      <w:r>
        <w:rPr>
          <w:rFonts w:hint="eastAsia"/>
          <w:kern w:val="0"/>
        </w:rPr>
        <w:instrText xml:space="preserve">= 3 \* GB3</w:instrText>
      </w:r>
      <w:r>
        <w:rPr>
          <w:kern w:val="0"/>
        </w:rPr>
        <w:instrText xml:space="preserve"> </w:instrText>
      </w:r>
      <w:r>
        <w:rPr>
          <w:kern w:val="0"/>
        </w:rPr>
        <w:fldChar w:fldCharType="separate"/>
      </w:r>
      <w:r>
        <w:rPr>
          <w:rFonts w:hint="eastAsia"/>
          <w:kern w:val="0"/>
        </w:rPr>
        <w:t>③</w:t>
      </w:r>
      <w:r>
        <w:rPr>
          <w:kern w:val="0"/>
        </w:rPr>
        <w:fldChar w:fldCharType="end"/>
      </w:r>
      <w:r>
        <w:rPr>
          <w:kern w:val="0"/>
        </w:rPr>
        <w:t>人脸识别响应时间和识别准确率检验（以公安部</w:t>
      </w:r>
      <w:r>
        <w:rPr>
          <w:rFonts w:hint="eastAsia"/>
          <w:kern w:val="0"/>
        </w:rPr>
        <w:t>检测中心</w:t>
      </w:r>
      <w:r>
        <w:rPr>
          <w:kern w:val="0"/>
        </w:rPr>
        <w:t>检验报告为准）</w:t>
      </w:r>
    </w:p>
    <w:p>
      <w:pPr>
        <w:widowControl/>
        <w:spacing w:line="360" w:lineRule="auto"/>
        <w:jc w:val="left"/>
        <w:rPr>
          <w:kern w:val="0"/>
        </w:rPr>
      </w:pPr>
      <w:r>
        <w:rPr>
          <w:rFonts w:hint="eastAsia"/>
          <w:kern w:val="0"/>
        </w:rPr>
        <w:t>人脸</w:t>
      </w:r>
      <w:r>
        <w:rPr>
          <w:kern w:val="0"/>
        </w:rPr>
        <w:t>1:1比对，平均识别响应时间≤2s（不包括人脸采集时间）。人脸1:1识别比对，非本人误识率为0.1%时，本人识别准确率≥99%。</w:t>
      </w:r>
      <w:r>
        <w:rPr>
          <w:rFonts w:hint="eastAsia"/>
          <w:kern w:val="0"/>
        </w:rPr>
        <w:br w:type="textWrapping"/>
      </w:r>
      <w:r>
        <w:rPr>
          <w:rFonts w:hint="eastAsia"/>
          <w:b/>
          <w:bCs/>
          <w:kern w:val="0"/>
        </w:rPr>
        <w:t>1.8宣传展示</w:t>
      </w:r>
      <w:r>
        <w:rPr>
          <w:rFonts w:hint="eastAsia"/>
          <w:kern w:val="0"/>
        </w:rPr>
        <w:br w:type="textWrapping"/>
      </w:r>
      <w:r>
        <w:rPr>
          <w:rFonts w:hint="eastAsia"/>
          <w:kern w:val="0"/>
        </w:rPr>
        <w:t xml:space="preserve"> </w:t>
      </w:r>
      <w:r>
        <w:rPr>
          <w:kern w:val="0"/>
        </w:rPr>
        <w:t xml:space="preserve">   </w:t>
      </w:r>
      <w:r>
        <w:rPr>
          <w:rFonts w:hint="eastAsia"/>
          <w:kern w:val="0"/>
        </w:rPr>
        <w:t>终端配备宣传展示屏，系统可自动播放课程宣传片等宣传信息，同时可提供学校发布管理通知公告、学校简介、操作指南、教学宣传信息等。</w:t>
      </w:r>
      <w:r>
        <w:rPr>
          <w:rFonts w:hint="eastAsia"/>
          <w:kern w:val="0"/>
        </w:rPr>
        <w:br w:type="textWrapping"/>
      </w:r>
      <w:r>
        <w:rPr>
          <w:rFonts w:hint="eastAsia"/>
          <w:b/>
          <w:bCs/>
          <w:kern w:val="0"/>
        </w:rPr>
        <w:t>1.9语音向导</w:t>
      </w:r>
      <w:r>
        <w:rPr>
          <w:rFonts w:hint="eastAsia"/>
          <w:kern w:val="0"/>
        </w:rPr>
        <w:br w:type="textWrapping"/>
      </w:r>
      <w:r>
        <w:rPr>
          <w:rFonts w:hint="eastAsia"/>
          <w:kern w:val="0"/>
        </w:rPr>
        <w:t xml:space="preserve"> </w:t>
      </w:r>
      <w:r>
        <w:rPr>
          <w:kern w:val="0"/>
        </w:rPr>
        <w:t xml:space="preserve">   </w:t>
      </w:r>
      <w:r>
        <w:rPr>
          <w:rFonts w:hint="eastAsia"/>
          <w:kern w:val="0"/>
        </w:rPr>
        <w:t>学生在操作系统过程中，系统自动通过语音方式提醒用户操作每一个步骤，完成操作后，可通过语音方式提醒学生注销退出系统、取卡等事项。</w:t>
      </w:r>
      <w:r>
        <w:rPr>
          <w:rFonts w:hint="eastAsia"/>
          <w:kern w:val="0"/>
        </w:rPr>
        <w:br w:type="textWrapping"/>
      </w:r>
      <w:r>
        <w:rPr>
          <w:rFonts w:hint="eastAsia"/>
          <w:b/>
          <w:bCs/>
          <w:kern w:val="0"/>
        </w:rPr>
        <w:t>1.</w:t>
      </w:r>
      <w:r>
        <w:rPr>
          <w:b/>
          <w:bCs/>
          <w:kern w:val="0"/>
        </w:rPr>
        <w:t>1</w:t>
      </w:r>
      <w:r>
        <w:rPr>
          <w:rFonts w:hint="eastAsia"/>
          <w:b/>
          <w:bCs/>
          <w:kern w:val="0"/>
        </w:rPr>
        <w:t>0 打印内容自动核验</w:t>
      </w:r>
      <w:r>
        <w:rPr>
          <w:rFonts w:hint="eastAsia"/>
          <w:kern w:val="0"/>
        </w:rPr>
        <w:br w:type="textWrapping"/>
      </w:r>
      <w:r>
        <w:rPr>
          <w:rFonts w:hint="eastAsia"/>
          <w:kern w:val="0"/>
        </w:rPr>
        <w:t xml:space="preserve"> </w:t>
      </w:r>
      <w:r>
        <w:rPr>
          <w:kern w:val="0"/>
        </w:rPr>
        <w:t xml:space="preserve">   </w:t>
      </w:r>
      <w:r>
        <w:rPr>
          <w:rFonts w:hint="eastAsia"/>
          <w:kern w:val="0"/>
        </w:rPr>
        <w:t>可以通过系统设置每个打印业务需要检验的字段，打印时可以通过设定的规则检验表单内容是否有字段为空，信息不全的情况，若信息不完整，系统可阻止用户打印，并将信息缺失的内容反馈给用户，从而避免打印的证明文件无效、纸张浪费的现象。</w:t>
      </w:r>
    </w:p>
    <w:p>
      <w:pPr>
        <w:widowControl/>
        <w:spacing w:line="360" w:lineRule="auto"/>
        <w:jc w:val="left"/>
        <w:rPr>
          <w:b/>
          <w:bCs/>
          <w:kern w:val="0"/>
        </w:rPr>
      </w:pPr>
      <w:r>
        <w:rPr>
          <w:b/>
          <w:bCs/>
          <w:kern w:val="0"/>
        </w:rPr>
        <w:t>1.1</w:t>
      </w:r>
      <w:r>
        <w:rPr>
          <w:rFonts w:hint="eastAsia"/>
          <w:b/>
          <w:bCs/>
          <w:kern w:val="0"/>
        </w:rPr>
        <w:t>1</w:t>
      </w:r>
      <w:r>
        <w:rPr>
          <w:b/>
          <w:bCs/>
          <w:kern w:val="0"/>
        </w:rPr>
        <w:t>智能</w:t>
      </w:r>
      <w:r>
        <w:rPr>
          <w:rFonts w:hint="eastAsia"/>
          <w:b/>
          <w:bCs/>
          <w:kern w:val="0"/>
        </w:rPr>
        <w:t>咨询</w:t>
      </w:r>
      <w:r>
        <w:rPr>
          <w:b/>
          <w:bCs/>
          <w:kern w:val="0"/>
        </w:rPr>
        <w:t>问答</w:t>
      </w:r>
    </w:p>
    <w:p>
      <w:pPr>
        <w:widowControl/>
        <w:spacing w:line="360" w:lineRule="auto"/>
        <w:ind w:firstLine="420" w:firstLineChars="200"/>
        <w:jc w:val="left"/>
        <w:rPr>
          <w:kern w:val="0"/>
        </w:rPr>
      </w:pPr>
      <w:r>
        <w:rPr>
          <w:rFonts w:hint="eastAsia"/>
          <w:kern w:val="0"/>
        </w:rPr>
        <w:t>满足师生可直接在自助服务终端上通过语音进行咨询问答的服务需求，系统须具有以下基本功能：</w:t>
      </w:r>
    </w:p>
    <w:p>
      <w:pPr>
        <w:widowControl/>
        <w:spacing w:line="360" w:lineRule="auto"/>
        <w:ind w:firstLine="420" w:firstLineChars="200"/>
        <w:jc w:val="left"/>
        <w:rPr>
          <w:kern w:val="0"/>
        </w:rPr>
      </w:pPr>
      <w:r>
        <w:rPr>
          <w:rFonts w:hint="eastAsia"/>
          <w:kern w:val="0"/>
        </w:rPr>
        <w:t>①问答知识库</w:t>
      </w:r>
      <w:r>
        <w:rPr>
          <w:kern w:val="0"/>
        </w:rPr>
        <w:t>FAQ管理：支持分类目录多级知识管路，支持知识快速导入导出、增删改查，支持知识历史版本控制，支持知识搜索与知识类目迁移，支持多视角多模态知识配置，支持分渠道分体系知识配置，支持知识关联和标签化知识管理。</w:t>
      </w:r>
    </w:p>
    <w:p>
      <w:pPr>
        <w:widowControl/>
        <w:spacing w:line="360" w:lineRule="auto"/>
        <w:ind w:firstLine="420" w:firstLineChars="200"/>
        <w:jc w:val="left"/>
        <w:rPr>
          <w:kern w:val="0"/>
        </w:rPr>
      </w:pPr>
      <w:r>
        <w:rPr>
          <w:rFonts w:hint="eastAsia"/>
          <w:kern w:val="0"/>
        </w:rPr>
        <w:t>②</w:t>
      </w:r>
      <w:r>
        <w:rPr>
          <w:kern w:val="0"/>
        </w:rPr>
        <w:t>DS对话工厂流程配置：提供画布式流程编辑器，支持全局意图配置，快速引用意图，支持服务节点、函数节点、赋值节点多类型节点配置，支持快捷节点构建，自动判断子节点，支持自动连线功能，快速帮助用户完成连线快捷节点构建。</w:t>
      </w:r>
    </w:p>
    <w:p>
      <w:pPr>
        <w:pStyle w:val="7"/>
        <w:spacing w:before="0" w:after="0" w:line="415" w:lineRule="auto"/>
        <w:rPr>
          <w:rStyle w:val="37"/>
          <w:rFonts w:ascii="宋体" w:hAnsi="宋体" w:eastAsia="宋体"/>
          <w:b/>
          <w:bCs/>
          <w:sz w:val="28"/>
          <w:szCs w:val="28"/>
        </w:rPr>
      </w:pPr>
      <w:bookmarkStart w:id="9" w:name="_Toc778"/>
      <w:r>
        <w:rPr>
          <w:rStyle w:val="37"/>
          <w:rFonts w:ascii="宋体" w:hAnsi="宋体" w:eastAsia="宋体"/>
          <w:b/>
          <w:bCs/>
          <w:sz w:val="28"/>
          <w:szCs w:val="28"/>
        </w:rPr>
        <w:t>2</w:t>
      </w:r>
      <w:r>
        <w:rPr>
          <w:rStyle w:val="37"/>
          <w:rFonts w:hint="eastAsia" w:ascii="宋体" w:hAnsi="宋体" w:eastAsia="宋体"/>
          <w:b/>
          <w:bCs/>
          <w:sz w:val="28"/>
          <w:szCs w:val="28"/>
        </w:rPr>
        <w:t>、智能远程运维管理平台</w:t>
      </w:r>
      <w:bookmarkEnd w:id="9"/>
    </w:p>
    <w:p>
      <w:pPr>
        <w:widowControl/>
        <w:spacing w:line="360" w:lineRule="auto"/>
        <w:ind w:firstLine="420" w:firstLineChars="200"/>
        <w:jc w:val="left"/>
        <w:rPr>
          <w:kern w:val="0"/>
        </w:rPr>
      </w:pPr>
      <w:r>
        <w:rPr>
          <w:rFonts w:hint="eastAsia"/>
          <w:kern w:val="0"/>
        </w:rPr>
        <w:t>本次采购智能远程运维服务管理平台，该运维服务软件须能将学校智能服务终端设备纳入该平台统一管理、监测以及升级维护，针对自助终端设备提供自助服务软件统一安装、部署、维护，实现设备、服务、用户角色等统一管理，统一授权，提供一系列报表、监控及预警功能，使得管理和维护更加方便，并可自行到校查验智能服务终端配置信息。</w:t>
      </w:r>
      <w:r>
        <w:rPr>
          <w:rFonts w:hint="eastAsia"/>
          <w:kern w:val="0"/>
        </w:rPr>
        <w:br w:type="textWrapping"/>
      </w:r>
      <w:r>
        <w:rPr>
          <w:rFonts w:hint="eastAsia"/>
          <w:b/>
          <w:bCs/>
          <w:kern w:val="0"/>
        </w:rPr>
        <w:t>2.1系统用户管理</w:t>
      </w:r>
      <w:r>
        <w:rPr>
          <w:rFonts w:hint="eastAsia"/>
          <w:kern w:val="0"/>
        </w:rPr>
        <w:br w:type="textWrapping"/>
      </w:r>
      <w:r>
        <w:rPr>
          <w:rFonts w:hint="eastAsia"/>
          <w:kern w:val="0"/>
        </w:rPr>
        <w:t xml:space="preserve">    该功能主要应用于日常用户的信息管理，可由管理员分配相应角色，并能对各用户进行灵活的权限设置。</w:t>
      </w:r>
      <w:r>
        <w:rPr>
          <w:rFonts w:hint="eastAsia"/>
          <w:kern w:val="0"/>
        </w:rPr>
        <w:br w:type="textWrapping"/>
      </w:r>
      <w:r>
        <w:rPr>
          <w:rFonts w:hint="eastAsia"/>
          <w:b/>
          <w:bCs/>
          <w:kern w:val="0"/>
        </w:rPr>
        <w:t>2.2打印类型管理</w:t>
      </w:r>
      <w:r>
        <w:rPr>
          <w:rFonts w:hint="eastAsia"/>
          <w:kern w:val="0"/>
        </w:rPr>
        <w:br w:type="textWrapping"/>
      </w:r>
      <w:r>
        <w:rPr>
          <w:rFonts w:hint="eastAsia"/>
          <w:kern w:val="0"/>
        </w:rPr>
        <w:t xml:space="preserve">   该功能可灵活自助配置样式，同时，可以设置打印角色（如毕业生、在校生等角色）的免费份数。</w:t>
      </w:r>
      <w:r>
        <w:rPr>
          <w:rFonts w:hint="eastAsia"/>
          <w:kern w:val="0"/>
        </w:rPr>
        <w:br w:type="textWrapping"/>
      </w:r>
      <w:r>
        <w:rPr>
          <w:rFonts w:hint="eastAsia"/>
          <w:b/>
          <w:bCs/>
          <w:kern w:val="0"/>
        </w:rPr>
        <w:t>2.3自助终端管理</w:t>
      </w:r>
      <w:r>
        <w:rPr>
          <w:rFonts w:hint="eastAsia"/>
          <w:kern w:val="0"/>
        </w:rPr>
        <w:br w:type="textWrapping"/>
      </w:r>
      <w:r>
        <w:rPr>
          <w:rFonts w:hint="eastAsia"/>
          <w:kern w:val="0"/>
        </w:rPr>
        <w:t xml:space="preserve">    终端参数配置管理：该功能包括纸张管理、纸张短信提醒管理、权限开放设置等，在特定需求的情况下，能实现把不同的服务配置到不同的终端上。</w:t>
      </w:r>
      <w:r>
        <w:rPr>
          <w:rFonts w:hint="eastAsia"/>
          <w:kern w:val="0"/>
        </w:rPr>
        <w:br w:type="textWrapping"/>
      </w:r>
      <w:r>
        <w:rPr>
          <w:rFonts w:hint="eastAsia"/>
          <w:kern w:val="0"/>
        </w:rPr>
        <w:t>远程虚拟终端管理：全天候实时监控终端机、打印机、打印系统的运行状况，并可通过网络远程操控终端机操作系统及应用程序；支持还原和更新，终端机只需重启便能恢复到初始健康状态；通过更新服务器端文件，就能实现所有终端机的更新。</w:t>
      </w:r>
      <w:r>
        <w:rPr>
          <w:rFonts w:hint="eastAsia"/>
          <w:kern w:val="0"/>
        </w:rPr>
        <w:br w:type="textWrapping"/>
      </w:r>
      <w:r>
        <w:rPr>
          <w:rFonts w:hint="eastAsia"/>
          <w:b/>
          <w:bCs/>
          <w:kern w:val="0"/>
        </w:rPr>
        <w:t>2.4打印记录管理</w:t>
      </w:r>
      <w:r>
        <w:rPr>
          <w:rFonts w:hint="eastAsia"/>
          <w:kern w:val="0"/>
        </w:rPr>
        <w:br w:type="textWrapping"/>
      </w:r>
      <w:r>
        <w:rPr>
          <w:rFonts w:hint="eastAsia"/>
          <w:kern w:val="0"/>
        </w:rPr>
        <w:t xml:space="preserve">    该模块对学生打印的记录进行收集统计分析，可以按条件进行查询或者导出相应的打印记录，能对打印记录进行统计。</w:t>
      </w:r>
      <w:r>
        <w:rPr>
          <w:rFonts w:hint="eastAsia"/>
          <w:kern w:val="0"/>
        </w:rPr>
        <w:br w:type="textWrapping"/>
      </w:r>
      <w:r>
        <w:rPr>
          <w:rFonts w:hint="eastAsia"/>
          <w:b/>
          <w:bCs/>
          <w:kern w:val="0"/>
        </w:rPr>
        <w:t>2.5通知公告管理</w:t>
      </w:r>
      <w:r>
        <w:rPr>
          <w:rFonts w:hint="eastAsia"/>
          <w:kern w:val="0"/>
        </w:rPr>
        <w:br w:type="textWrapping"/>
      </w:r>
      <w:r>
        <w:rPr>
          <w:rFonts w:hint="eastAsia"/>
          <w:kern w:val="0"/>
        </w:rPr>
        <w:t xml:space="preserve">    管理员发布通知公告，终端机能够实时显示相应的公告内容，多渠道，多方式进行数字信息宣传。</w:t>
      </w:r>
      <w:r>
        <w:rPr>
          <w:rFonts w:hint="eastAsia"/>
          <w:kern w:val="0"/>
        </w:rPr>
        <w:br w:type="textWrapping"/>
      </w:r>
      <w:r>
        <w:rPr>
          <w:rFonts w:hint="eastAsia"/>
          <w:b/>
          <w:bCs/>
          <w:kern w:val="0"/>
        </w:rPr>
        <w:t>2.6缴费管理</w:t>
      </w:r>
      <w:r>
        <w:rPr>
          <w:rFonts w:hint="eastAsia"/>
          <w:kern w:val="0"/>
        </w:rPr>
        <w:br w:type="textWrapping"/>
      </w:r>
      <w:r>
        <w:rPr>
          <w:rFonts w:hint="eastAsia"/>
          <w:kern w:val="0"/>
        </w:rPr>
        <w:t xml:space="preserve"> </w:t>
      </w:r>
      <w:r>
        <w:rPr>
          <w:kern w:val="0"/>
        </w:rPr>
        <w:t xml:space="preserve">   </w:t>
      </w:r>
      <w:r>
        <w:rPr>
          <w:rFonts w:hint="eastAsia"/>
          <w:kern w:val="0"/>
        </w:rPr>
        <w:t>缴费参数设置：管理人员可以设置成绩单、证明文件各种缴费类型费用参数,并可对单个学生进行免费份数设置。</w:t>
      </w:r>
      <w:r>
        <w:rPr>
          <w:rFonts w:hint="eastAsia"/>
          <w:kern w:val="0"/>
        </w:rPr>
        <w:br w:type="textWrapping"/>
      </w:r>
      <w:r>
        <w:rPr>
          <w:rFonts w:hint="eastAsia"/>
          <w:kern w:val="0"/>
        </w:rPr>
        <w:t>统计分析：管理人员可对缴费记录按不同的时间段、打印类型、终端进行统计分析；</w:t>
      </w:r>
      <w:r>
        <w:rPr>
          <w:rFonts w:hint="eastAsia"/>
          <w:kern w:val="0"/>
        </w:rPr>
        <w:br w:type="textWrapping"/>
      </w:r>
      <w:r>
        <w:rPr>
          <w:rFonts w:hint="eastAsia"/>
          <w:kern w:val="0"/>
        </w:rPr>
        <w:t xml:space="preserve">   “代缴费”管理：管理人员可任意增加设置扣费类型，如CET、二级计算机等级等，同时可以对缴费的记录进行查询分析；设置完成后，学生可通过终端自助缴费。</w:t>
      </w:r>
      <w:r>
        <w:rPr>
          <w:rFonts w:hint="eastAsia"/>
          <w:kern w:val="0"/>
        </w:rPr>
        <w:br w:type="textWrapping"/>
      </w:r>
      <w:r>
        <w:rPr>
          <w:rFonts w:hint="eastAsia"/>
          <w:b/>
          <w:bCs/>
          <w:kern w:val="0"/>
        </w:rPr>
        <w:t>2.7宣传展示内容发布管理</w:t>
      </w:r>
      <w:r>
        <w:rPr>
          <w:rFonts w:hint="eastAsia"/>
          <w:kern w:val="0"/>
        </w:rPr>
        <w:br w:type="textWrapping"/>
      </w:r>
      <w:r>
        <w:rPr>
          <w:rFonts w:hint="eastAsia"/>
          <w:kern w:val="0"/>
        </w:rPr>
        <w:t xml:space="preserve"> </w:t>
      </w:r>
      <w:r>
        <w:rPr>
          <w:kern w:val="0"/>
        </w:rPr>
        <w:t xml:space="preserve">   </w:t>
      </w:r>
      <w:r>
        <w:rPr>
          <w:rFonts w:hint="eastAsia"/>
          <w:kern w:val="0"/>
        </w:rPr>
        <w:t>管理员可通过后台系统发布推送校内宣传内容到指定终端宣传展示屏，支持主流媒体格式（gif/mp4/pdf）等格式发布，并且可以设置播放机制，同时配备发布审核功能。</w:t>
      </w:r>
      <w:r>
        <w:rPr>
          <w:rFonts w:hint="eastAsia"/>
          <w:kern w:val="0"/>
        </w:rPr>
        <w:br w:type="textWrapping"/>
      </w:r>
      <w:r>
        <w:rPr>
          <w:rFonts w:hint="eastAsia"/>
          <w:b/>
          <w:bCs/>
          <w:kern w:val="0"/>
        </w:rPr>
        <w:t>2.8智能短信提醒模块</w:t>
      </w:r>
      <w:r>
        <w:rPr>
          <w:rFonts w:hint="eastAsia"/>
          <w:kern w:val="0"/>
        </w:rPr>
        <w:br w:type="textWrapping"/>
      </w:r>
      <w:r>
        <w:rPr>
          <w:rFonts w:hint="eastAsia"/>
          <w:kern w:val="0"/>
        </w:rPr>
        <w:t xml:space="preserve"> </w:t>
      </w:r>
      <w:r>
        <w:rPr>
          <w:kern w:val="0"/>
        </w:rPr>
        <w:t xml:space="preserve">   </w:t>
      </w:r>
      <w:r>
        <w:rPr>
          <w:rFonts w:hint="eastAsia"/>
          <w:kern w:val="0"/>
        </w:rPr>
        <w:t>系统与合法授权移动短信网关对接，实现短信提醒终端运行情况：打印机缺纸短信提醒：打印机断电短信提醒；用户手动报警：登录用户操作过程中出现故障，可以按“报障”按钮，系统自动将信息发送到主管老师。</w:t>
      </w:r>
      <w:r>
        <w:rPr>
          <w:rFonts w:hint="eastAsia"/>
          <w:kern w:val="0"/>
        </w:rPr>
        <w:br w:type="textWrapping"/>
      </w:r>
      <w:bookmarkStart w:id="10" w:name="_Hlk84260046"/>
      <w:r>
        <w:rPr>
          <w:rFonts w:hint="eastAsia"/>
          <w:b/>
          <w:bCs/>
          <w:kern w:val="0"/>
        </w:rPr>
        <w:t>2.9智能匹配翻译引擎及英文课程名库</w:t>
      </w:r>
      <w:r>
        <w:rPr>
          <w:rFonts w:hint="eastAsia"/>
          <w:kern w:val="0"/>
        </w:rPr>
        <w:br w:type="textWrapping"/>
      </w:r>
      <w:r>
        <w:rPr>
          <w:rFonts w:hint="eastAsia"/>
          <w:kern w:val="0"/>
        </w:rPr>
        <w:t xml:space="preserve"> </w:t>
      </w:r>
      <w:r>
        <w:rPr>
          <w:kern w:val="0"/>
        </w:rPr>
        <w:t xml:space="preserve">   </w:t>
      </w:r>
      <w:r>
        <w:rPr>
          <w:rFonts w:hint="eastAsia"/>
          <w:kern w:val="0"/>
        </w:rPr>
        <w:t>为学校提供高校课程在线检索自助匹配翻译引擎，自动对接高校英文课程名检索数据库，可供检索匹配的权威有效高校英文课程名库不少于40万条，提供功能页面客观展示可查询检索的功能页面及课程名库数据记录。必须具有合法知识产权。</w:t>
      </w:r>
      <w:bookmarkEnd w:id="10"/>
    </w:p>
    <w:p>
      <w:pPr>
        <w:tabs>
          <w:tab w:val="left" w:pos="360"/>
        </w:tabs>
        <w:spacing w:line="360" w:lineRule="auto"/>
        <w:rPr>
          <w:b/>
          <w:bCs/>
        </w:rPr>
      </w:pPr>
      <w:bookmarkStart w:id="11" w:name="_Hlk84260071"/>
      <w:r>
        <w:rPr>
          <w:b/>
          <w:bCs/>
        </w:rPr>
        <w:t>2</w:t>
      </w:r>
      <w:r>
        <w:rPr>
          <w:rFonts w:hint="eastAsia"/>
          <w:b/>
          <w:bCs/>
        </w:rPr>
        <w:t>.</w:t>
      </w:r>
      <w:r>
        <w:rPr>
          <w:b/>
          <w:bCs/>
        </w:rPr>
        <w:t>10</w:t>
      </w:r>
      <w:r>
        <w:rPr>
          <w:rFonts w:hint="eastAsia"/>
          <w:b/>
          <w:bCs/>
        </w:rPr>
        <w:t>用户单位数字证书（含硬件U-key）：</w:t>
      </w:r>
      <w:r>
        <w:rPr>
          <w:b/>
          <w:bCs/>
          <w:color w:val="FF0000"/>
        </w:rPr>
        <w:t xml:space="preserve"> </w:t>
      </w:r>
    </w:p>
    <w:p>
      <w:pPr>
        <w:pStyle w:val="5"/>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用于标识合法授权使用单位的网上真实身份。管理员只有使用单位数字证书U-key登录智能远程运维管理平台才能对系统和终端的核心参数进行设置管理。</w:t>
      </w:r>
    </w:p>
    <w:p>
      <w:pPr>
        <w:pStyle w:val="5"/>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color w:val="000000" w:themeColor="text1"/>
          <w:szCs w:val="22"/>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单位数字证书采用 SM2 国产算法签发，证书格式遵循x.509v3 标准。用户单位数字证书颁发机构必须具有中华人民共和国工业和信息化部颁发的《电子认证服务许可证》以及国家密码管理局颁发的《电子认证服务使用密码许可证》和《电子政务电子认证服务机构证书》，投标时须提供以上三项证书复印件加盖颁发机构公章。</w:t>
      </w:r>
    </w:p>
    <w:p>
      <w:pPr>
        <w:tabs>
          <w:tab w:val="left" w:pos="360"/>
        </w:tabs>
        <w:spacing w:line="360" w:lineRule="auto"/>
        <w:rPr>
          <w:b/>
          <w:bCs/>
        </w:rPr>
      </w:pPr>
      <w:r>
        <w:rPr>
          <w:b/>
          <w:bCs/>
        </w:rPr>
        <w:t>2</w:t>
      </w:r>
      <w:r>
        <w:rPr>
          <w:rFonts w:hint="eastAsia"/>
          <w:b/>
          <w:bCs/>
        </w:rPr>
        <w:t>.</w:t>
      </w:r>
      <w:r>
        <w:rPr>
          <w:b/>
          <w:bCs/>
        </w:rPr>
        <w:t>11</w:t>
      </w:r>
      <w:r>
        <w:rPr>
          <w:rFonts w:hint="eastAsia"/>
          <w:b/>
          <w:bCs/>
        </w:rPr>
        <w:t>可视化大屏展示功能：</w:t>
      </w:r>
      <w:r>
        <w:rPr>
          <w:b/>
          <w:bCs/>
        </w:rPr>
        <w:t xml:space="preserve"> </w:t>
      </w:r>
    </w:p>
    <w:p>
      <w:pPr>
        <w:pStyle w:val="5"/>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建立清晰的IT服务支持全局视图，适配8*4块的16:9电视组成的屏幕墙，在大屏展示集中运维情况，显示设备基本信息、运行状况，数据统计图形化展示。通过统一运维管理平台量化各个智能终端各项运维数据，为学校管理提供高质量服务报告，实现运维全面预警，业务全程管控，优化管理效能。</w:t>
      </w:r>
      <w:bookmarkEnd w:id="11"/>
    </w:p>
    <w:p>
      <w:pPr>
        <w:pStyle w:val="7"/>
        <w:spacing w:before="0" w:after="0" w:line="360" w:lineRule="auto"/>
        <w:rPr>
          <w:rStyle w:val="37"/>
          <w:rFonts w:ascii="宋体" w:hAnsi="宋体" w:eastAsia="宋体"/>
          <w:b/>
          <w:bCs/>
          <w:sz w:val="28"/>
          <w:szCs w:val="28"/>
        </w:rPr>
      </w:pPr>
      <w:bookmarkStart w:id="12" w:name="_Toc5531"/>
      <w:r>
        <w:rPr>
          <w:rStyle w:val="37"/>
          <w:rFonts w:hint="eastAsia" w:ascii="宋体" w:hAnsi="宋体" w:eastAsia="宋体"/>
          <w:b/>
          <w:bCs/>
          <w:sz w:val="28"/>
          <w:szCs w:val="28"/>
        </w:rPr>
        <w:t>3、成绩单</w:t>
      </w:r>
      <w:r>
        <w:rPr>
          <w:rStyle w:val="37"/>
          <w:rFonts w:ascii="宋体" w:hAnsi="宋体" w:eastAsia="宋体"/>
          <w:b/>
          <w:bCs/>
          <w:sz w:val="28"/>
          <w:szCs w:val="28"/>
        </w:rPr>
        <w:t>/</w:t>
      </w:r>
      <w:r>
        <w:rPr>
          <w:rStyle w:val="37"/>
          <w:rFonts w:hint="eastAsia" w:ascii="宋体" w:hAnsi="宋体" w:eastAsia="宋体"/>
          <w:b/>
          <w:bCs/>
          <w:sz w:val="28"/>
          <w:szCs w:val="28"/>
        </w:rPr>
        <w:t>证明文件</w:t>
      </w:r>
      <w:bookmarkStart w:id="13" w:name="_Hlk84264550"/>
      <w:r>
        <w:rPr>
          <w:rStyle w:val="37"/>
          <w:rFonts w:hint="eastAsia" w:ascii="宋体" w:hAnsi="宋体" w:eastAsia="宋体"/>
          <w:b/>
          <w:bCs/>
          <w:sz w:val="28"/>
          <w:szCs w:val="28"/>
        </w:rPr>
        <w:t>权威验证</w:t>
      </w:r>
      <w:bookmarkEnd w:id="13"/>
      <w:r>
        <w:rPr>
          <w:rStyle w:val="37"/>
          <w:rFonts w:hint="eastAsia" w:ascii="宋体" w:hAnsi="宋体" w:eastAsia="宋体"/>
          <w:b/>
          <w:bCs/>
          <w:sz w:val="28"/>
          <w:szCs w:val="28"/>
        </w:rPr>
        <w:t>平台</w:t>
      </w:r>
      <w:bookmarkEnd w:id="12"/>
    </w:p>
    <w:p>
      <w:pPr>
        <w:tabs>
          <w:tab w:val="left" w:pos="360"/>
        </w:tabs>
        <w:spacing w:line="360" w:lineRule="auto"/>
        <w:rPr>
          <w:b/>
          <w:bCs/>
          <w:color w:val="000000" w:themeColor="text1"/>
          <w:szCs w:val="22"/>
          <w14:textFill>
            <w14:solidFill>
              <w14:schemeClr w14:val="tx1"/>
            </w14:solidFill>
          </w14:textFill>
        </w:rPr>
      </w:pPr>
      <w:r>
        <w:rPr>
          <w:rFonts w:hint="eastAsia"/>
          <w:b/>
          <w:bCs/>
          <w:color w:val="000000" w:themeColor="text1"/>
          <w:szCs w:val="22"/>
          <w14:textFill>
            <w14:solidFill>
              <w14:schemeClr w14:val="tx1"/>
            </w14:solidFill>
          </w14:textFill>
        </w:rPr>
        <w:t>★</w:t>
      </w:r>
      <w:r>
        <w:rPr>
          <w:b/>
          <w:bCs/>
          <w:color w:val="000000" w:themeColor="text1"/>
          <w:szCs w:val="22"/>
          <w14:textFill>
            <w14:solidFill>
              <w14:schemeClr w14:val="tx1"/>
            </w14:solidFill>
          </w14:textFill>
        </w:rPr>
        <w:t>3.1</w:t>
      </w:r>
      <w:bookmarkStart w:id="14" w:name="_Hlk84264524"/>
      <w:r>
        <w:rPr>
          <w:rFonts w:hint="eastAsia"/>
          <w:b/>
          <w:bCs/>
          <w:color w:val="000000" w:themeColor="text1"/>
          <w:szCs w:val="22"/>
          <w14:textFill>
            <w14:solidFill>
              <w14:schemeClr w14:val="tx1"/>
            </w14:solidFill>
          </w14:textFill>
        </w:rPr>
        <w:t>教育部权威机构成绩单权威验证：</w:t>
      </w:r>
    </w:p>
    <w:p>
      <w:pPr>
        <w:tabs>
          <w:tab w:val="left" w:pos="360"/>
        </w:tabs>
        <w:spacing w:line="360" w:lineRule="auto"/>
        <w:ind w:firstLine="420" w:firstLineChars="200"/>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本项目必须实现与教育部权威机构成绩单验证平台对接,实现从学校现用成绩自助打印终端和本次新增采购的自助服务终端自助打印的每份成绩单均可在教育部权威机构成绩单验证平台上进行快速真伪验证，至少必须包含对每份成绩单的内容、电子签章及可信时间戳进行验证，教育部权威机构验证平台验证完成后，实时反馈展示验证结果。</w:t>
      </w:r>
      <w:bookmarkEnd w:id="14"/>
      <w:r>
        <w:rPr>
          <w:color w:val="000000" w:themeColor="text1"/>
          <w:szCs w:val="22"/>
          <w14:textFill>
            <w14:solidFill>
              <w14:schemeClr w14:val="tx1"/>
            </w14:solidFill>
          </w14:textFill>
        </w:rPr>
        <w:t>投标人</w:t>
      </w:r>
      <w:r>
        <w:rPr>
          <w:rFonts w:hint="eastAsia"/>
          <w:color w:val="000000" w:themeColor="text1"/>
          <w:szCs w:val="22"/>
          <w14:textFill>
            <w14:solidFill>
              <w14:schemeClr w14:val="tx1"/>
            </w14:solidFill>
          </w14:textFill>
        </w:rPr>
        <w:t>或投标产品生产厂商必须</w:t>
      </w:r>
      <w:r>
        <w:rPr>
          <w:color w:val="000000" w:themeColor="text1"/>
          <w:szCs w:val="22"/>
          <w14:textFill>
            <w14:solidFill>
              <w14:schemeClr w14:val="tx1"/>
            </w14:solidFill>
          </w14:textFill>
        </w:rPr>
        <w:t>具备与教育部权威机构的验证平台对接的能力，</w:t>
      </w:r>
      <w:r>
        <w:rPr>
          <w:rFonts w:hint="eastAsia"/>
          <w:color w:val="000000" w:themeColor="text1"/>
          <w:szCs w:val="22"/>
          <w14:textFill>
            <w14:solidFill>
              <w14:schemeClr w14:val="tx1"/>
            </w14:solidFill>
          </w14:textFill>
        </w:rPr>
        <w:t>投标时</w:t>
      </w:r>
      <w:r>
        <w:rPr>
          <w:color w:val="000000" w:themeColor="text1"/>
          <w:szCs w:val="22"/>
          <w14:textFill>
            <w14:solidFill>
              <w14:schemeClr w14:val="tx1"/>
            </w14:solidFill>
          </w14:textFill>
        </w:rPr>
        <w:t>须完整提供</w:t>
      </w:r>
      <w:r>
        <w:rPr>
          <w:rFonts w:hint="eastAsia"/>
          <w:color w:val="000000" w:themeColor="text1"/>
          <w:szCs w:val="22"/>
          <w14:textFill>
            <w14:solidFill>
              <w14:schemeClr w14:val="tx1"/>
            </w14:solidFill>
          </w14:textFill>
        </w:rPr>
        <w:t>投标人或投标产品生产厂商</w:t>
      </w:r>
      <w:r>
        <w:rPr>
          <w:color w:val="000000" w:themeColor="text1"/>
          <w:szCs w:val="22"/>
          <w14:textFill>
            <w14:solidFill>
              <w14:schemeClr w14:val="tx1"/>
            </w14:solidFill>
          </w14:textFill>
        </w:rPr>
        <w:t>具有成功对接教育部权威机构成绩单验证平台的项目案例证明材料复印件（</w:t>
      </w:r>
      <w:r>
        <w:rPr>
          <w:rFonts w:hint="eastAsia"/>
          <w:color w:val="000000" w:themeColor="text1"/>
          <w:szCs w:val="22"/>
          <w14:textFill>
            <w14:solidFill>
              <w14:schemeClr w14:val="tx1"/>
            </w14:solidFill>
          </w14:textFill>
        </w:rPr>
        <w:t>案例项目中标公告查询网址、</w:t>
      </w:r>
      <w:r>
        <w:rPr>
          <w:color w:val="000000" w:themeColor="text1"/>
          <w:szCs w:val="22"/>
          <w14:textFill>
            <w14:solidFill>
              <w14:schemeClr w14:val="tx1"/>
            </w14:solidFill>
          </w14:textFill>
        </w:rPr>
        <w:t>项目合同、项目验收报告、教育部权威机构成绩单验证平台显示有案例名称的页面截图</w:t>
      </w:r>
      <w:r>
        <w:rPr>
          <w:rFonts w:hint="eastAsia"/>
          <w:color w:val="000000" w:themeColor="text1"/>
          <w:szCs w:val="22"/>
          <w14:textFill>
            <w14:solidFill>
              <w14:schemeClr w14:val="tx1"/>
            </w14:solidFill>
          </w14:textFill>
        </w:rPr>
        <w:t>四</w:t>
      </w:r>
      <w:r>
        <w:rPr>
          <w:color w:val="000000" w:themeColor="text1"/>
          <w:szCs w:val="22"/>
          <w14:textFill>
            <w14:solidFill>
              <w14:schemeClr w14:val="tx1"/>
            </w14:solidFill>
          </w14:textFill>
        </w:rPr>
        <w:t>项证明材料）</w:t>
      </w:r>
    </w:p>
    <w:p>
      <w:pPr>
        <w:spacing w:line="360" w:lineRule="auto"/>
        <w:rPr>
          <w:b/>
          <w:bCs/>
        </w:rPr>
      </w:pPr>
      <w:r>
        <w:rPr>
          <w:b/>
          <w:bCs/>
        </w:rPr>
        <w:t>3.2</w:t>
      </w:r>
      <w:r>
        <w:rPr>
          <w:rFonts w:hint="eastAsia"/>
          <w:b/>
          <w:bCs/>
        </w:rPr>
        <w:t>学校指定网址/公众号验证：</w:t>
      </w:r>
    </w:p>
    <w:p>
      <w:pPr>
        <w:spacing w:line="440" w:lineRule="exact"/>
        <w:ind w:firstLine="420" w:firstLineChars="200"/>
      </w:pPr>
      <w:r>
        <w:rPr>
          <w:rFonts w:hint="eastAsia"/>
        </w:rPr>
        <w:t>进入学校指定网址或公众号可信成绩单/证明文件验证入口，输入成绩单/证明文件上的验证码进行真伪验证；成绩单/证明文件验证平台对文件区块链信息、文件内容进行验证；验证完成后，展示验证结果。</w:t>
      </w:r>
    </w:p>
    <w:p>
      <w:pPr>
        <w:spacing w:line="440" w:lineRule="exact"/>
        <w:rPr>
          <w:b/>
          <w:bCs/>
        </w:rPr>
      </w:pPr>
      <w:r>
        <w:rPr>
          <w:b/>
          <w:bCs/>
        </w:rPr>
        <w:t>3</w:t>
      </w:r>
      <w:r>
        <w:rPr>
          <w:rFonts w:hint="eastAsia"/>
          <w:b/>
          <w:bCs/>
        </w:rPr>
        <w:t>.3手机扫一扫验证：</w:t>
      </w:r>
    </w:p>
    <w:p>
      <w:pPr>
        <w:spacing w:line="440" w:lineRule="exact"/>
        <w:ind w:firstLine="420" w:firstLineChars="200"/>
      </w:pPr>
      <w:r>
        <w:rPr>
          <w:rFonts w:hint="eastAsia"/>
          <w:kern w:val="0"/>
        </w:rPr>
        <w:t>通过自助服务终端机打印输出的所有成绩单或证明文件，均应有加密的唯一验证码或“二维码”识别标志，可通过手机扫码验证方式实现自助信息真伪验证，</w:t>
      </w:r>
      <w:r>
        <w:rPr>
          <w:rFonts w:hint="eastAsia"/>
        </w:rPr>
        <w:t>通过手机扫一扫功能扫描成绩单/证明文件上的二维码；成绩单/证明文件验证平台对文件区块链信息、文件内容进行验证；验证完成后，展示验证结果。</w:t>
      </w:r>
    </w:p>
    <w:p>
      <w:pPr>
        <w:numPr>
          <w:ilvl w:val="0"/>
          <w:numId w:val="0"/>
        </w:numPr>
        <w:spacing w:line="360" w:lineRule="auto"/>
        <w:rPr>
          <w:b/>
          <w:color w:val="auto"/>
          <w:sz w:val="28"/>
          <w:szCs w:val="28"/>
        </w:rPr>
      </w:pPr>
      <w:r>
        <w:rPr>
          <w:rFonts w:hint="eastAsia"/>
          <w:b/>
          <w:color w:val="auto"/>
          <w:sz w:val="28"/>
          <w:szCs w:val="28"/>
          <w:lang w:eastAsia="zh-CN"/>
        </w:rPr>
        <w:t>㈢</w:t>
      </w:r>
      <w:r>
        <w:rPr>
          <w:rFonts w:hint="eastAsia"/>
          <w:b/>
          <w:color w:val="auto"/>
          <w:sz w:val="28"/>
          <w:szCs w:val="28"/>
        </w:rPr>
        <w:t>个性化服务</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20" w:firstLineChars="200"/>
        <w:textAlignment w:val="auto"/>
      </w:pPr>
      <w:r>
        <w:rPr>
          <w:rFonts w:hint="eastAsia"/>
        </w:rPr>
        <w:t>1.专用纸张设计服务：需根据学校个性化需求设计并实施各类成绩单及证明文件专用纸张打印样式。</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20" w:firstLineChars="200"/>
        <w:textAlignment w:val="auto"/>
      </w:pPr>
      <w:r>
        <w:rPr>
          <w:rFonts w:hint="eastAsia"/>
        </w:rPr>
        <w:t>2.专用纸张供货及分装服务：可根据学校需求，为学校提供防静电专用纸张货源，避免夹纸输出空白纸张，减少打印故障；专用纸张按400页分装，方便学校老师管理使用。本次项目建设配套提供1</w:t>
      </w:r>
      <w:r>
        <w:t>0000</w:t>
      </w:r>
      <w:r>
        <w:rPr>
          <w:rFonts w:hint="eastAsia"/>
        </w:rPr>
        <w:t>张专用纸张。</w:t>
      </w:r>
    </w:p>
    <w:p>
      <w:pPr>
        <w:numPr>
          <w:ilvl w:val="0"/>
          <w:numId w:val="0"/>
        </w:numPr>
        <w:spacing w:line="360" w:lineRule="auto"/>
        <w:rPr>
          <w:b/>
          <w:sz w:val="28"/>
          <w:szCs w:val="28"/>
        </w:rPr>
      </w:pPr>
      <w:r>
        <w:rPr>
          <w:rFonts w:hint="eastAsia"/>
          <w:b/>
          <w:sz w:val="28"/>
          <w:szCs w:val="28"/>
          <w:lang w:eastAsia="zh-CN"/>
        </w:rPr>
        <w:t>㈣</w:t>
      </w:r>
      <w:r>
        <w:rPr>
          <w:rFonts w:hint="eastAsia"/>
          <w:b/>
          <w:sz w:val="28"/>
          <w:szCs w:val="28"/>
        </w:rPr>
        <w:t>专业技术能力要求</w:t>
      </w:r>
    </w:p>
    <w:p>
      <w:pPr>
        <w:spacing w:line="360" w:lineRule="auto"/>
        <w:ind w:firstLine="422" w:firstLineChars="200"/>
        <w:rPr>
          <w:b/>
          <w:bCs/>
        </w:rPr>
      </w:pPr>
      <w:r>
        <w:rPr>
          <w:rFonts w:hint="eastAsia"/>
          <w:b/>
          <w:bCs/>
        </w:rPr>
        <w:t>1.英文数据翻译梳理服务</w:t>
      </w:r>
    </w:p>
    <w:p>
      <w:pPr>
        <w:spacing w:line="360" w:lineRule="auto"/>
        <w:ind w:firstLine="420" w:firstLineChars="200"/>
      </w:pPr>
      <w:r>
        <w:rPr>
          <w:rFonts w:hint="eastAsia"/>
        </w:rPr>
        <w:t>本次采购设备将用于提供全校学生打印中英文成绩单，投标产品生产厂家须具有英文课程名库翻译梳理服务专业技术能力，根据学校现用中文课程名库、专业名称、学位名称对应匹配梳理校验转换成英文课程名库、专业名称、学位名称。投标时须提供中国合格评定国家认可委员会认可的覆盖英文课程名库翻译梳理服务的质量管理体系认证证书复印件；确保学生打印输出的各类英文成绩单、证明文件内容准确、规范。</w:t>
      </w:r>
    </w:p>
    <w:p>
      <w:pPr>
        <w:spacing w:line="360" w:lineRule="auto"/>
        <w:ind w:firstLine="422" w:firstLineChars="200"/>
        <w:rPr>
          <w:b/>
          <w:bCs/>
        </w:rPr>
      </w:pPr>
      <w:r>
        <w:rPr>
          <w:rFonts w:hint="eastAsia"/>
          <w:b/>
          <w:bCs/>
        </w:rPr>
        <w:t>★ 2.信息技术标准化服务能力</w:t>
      </w:r>
    </w:p>
    <w:p>
      <w:pPr>
        <w:spacing w:line="360" w:lineRule="auto"/>
        <w:ind w:firstLine="420" w:firstLineChars="200"/>
      </w:pPr>
      <w:r>
        <w:rPr>
          <w:rFonts w:hint="eastAsia"/>
        </w:rPr>
        <w:t>生产厂家实施该信息化项目必须按照标准化的信息技术服务管理体系执行，为本项目实施的各个流程、各项工作的策划、执行、检查，以及持续的发现问题改善问题的建立完善体系，系统化执行项目，确保整个项目优质交付。投标时须提供ITSS信息技术服务运行维护标准符合性证书复印件。</w:t>
      </w:r>
    </w:p>
    <w:p>
      <w:pPr>
        <w:spacing w:line="360" w:lineRule="auto"/>
        <w:ind w:firstLine="422" w:firstLineChars="200"/>
        <w:rPr>
          <w:b/>
          <w:bCs/>
        </w:rPr>
      </w:pPr>
      <w:r>
        <w:rPr>
          <w:rFonts w:hint="eastAsia"/>
          <w:b/>
          <w:bCs/>
        </w:rPr>
        <w:t>▲ 3.信息安全保障能力</w:t>
      </w:r>
    </w:p>
    <w:p>
      <w:pPr>
        <w:spacing w:line="360" w:lineRule="auto"/>
        <w:ind w:firstLine="420" w:firstLineChars="200"/>
      </w:pPr>
      <w:r>
        <w:rPr>
          <w:rFonts w:hint="eastAsia"/>
        </w:rPr>
        <w:t>本项目实施及系统运行须与学校现用业务系统、校园卡系统等核心业务系统实时对接获取数据，为保障学校核心业务系统信息安全，投标产品生产厂家需具有信息安全技术防范能力，投标时须提供省级（或以上）安全技术防范系统设计资格证明材料。</w:t>
      </w:r>
    </w:p>
    <w:p>
      <w:pPr>
        <w:spacing w:line="360" w:lineRule="auto"/>
        <w:ind w:firstLine="422" w:firstLineChars="200"/>
        <w:rPr>
          <w:b/>
          <w:bCs/>
        </w:rPr>
      </w:pPr>
      <w:r>
        <w:rPr>
          <w:rFonts w:hint="eastAsia"/>
          <w:b/>
          <w:bCs/>
        </w:rPr>
        <w:t>▲ 4.信息系统建设和服务要求</w:t>
      </w:r>
    </w:p>
    <w:p>
      <w:pPr>
        <w:spacing w:line="360" w:lineRule="auto"/>
        <w:ind w:firstLine="420" w:firstLineChars="200"/>
      </w:pPr>
      <w:r>
        <w:rPr>
          <w:rFonts w:hint="eastAsia"/>
        </w:rPr>
        <w:t>本次信息系统建设须运用计算机网络技术和软件技术，将各个自助服务终端设备、功能和信息等集成到相互关联的、统一和协调的系统之中，以及为信息系统正常运行提供支撑服务，不限包括信息技术需求梳理、软件开发、数据处理、以及信息系统的设计、开发、集成实施、运行维护和运营服务等，因此，要求投标产品供应商必须具有信息系统建设和服务能力，投标时须提供信息系统建设和服务能力等级证书复印件。</w:t>
      </w:r>
    </w:p>
    <w:p>
      <w:pPr>
        <w:spacing w:line="360" w:lineRule="auto"/>
        <w:ind w:firstLine="422" w:firstLineChars="200"/>
        <w:rPr>
          <w:b/>
          <w:bCs/>
        </w:rPr>
      </w:pPr>
      <w:r>
        <w:rPr>
          <w:rFonts w:hint="eastAsia"/>
          <w:b/>
          <w:bCs/>
        </w:rPr>
        <w:t>5.业务连续保障能力</w:t>
      </w:r>
    </w:p>
    <w:p>
      <w:pPr>
        <w:spacing w:line="360" w:lineRule="auto"/>
        <w:ind w:firstLine="420" w:firstLineChars="200"/>
      </w:pPr>
      <w:r>
        <w:rPr>
          <w:rFonts w:hint="eastAsia"/>
        </w:rPr>
        <w:t>投标产品生产厂家需具备连续的技术支持和售后服务能力，确保我校自助服务的业务连续不间断，为师生提供全年7*24小时自助打印服务。</w:t>
      </w:r>
    </w:p>
    <w:p>
      <w:pPr>
        <w:numPr>
          <w:ilvl w:val="0"/>
          <w:numId w:val="0"/>
        </w:numPr>
        <w:tabs>
          <w:tab w:val="left" w:pos="360"/>
        </w:tabs>
        <w:spacing w:line="360" w:lineRule="auto"/>
        <w:ind w:leftChars="0"/>
        <w:rPr>
          <w:b/>
          <w:sz w:val="28"/>
          <w:szCs w:val="28"/>
        </w:rPr>
      </w:pPr>
      <w:r>
        <w:rPr>
          <w:rFonts w:hint="eastAsia"/>
          <w:b/>
          <w:sz w:val="28"/>
          <w:szCs w:val="28"/>
          <w:lang w:eastAsia="zh-CN"/>
        </w:rPr>
        <w:t>㈤</w:t>
      </w:r>
      <w:r>
        <w:rPr>
          <w:rFonts w:hint="eastAsia"/>
          <w:b/>
          <w:sz w:val="28"/>
          <w:szCs w:val="28"/>
        </w:rPr>
        <w:t>售后服务及供货要求</w:t>
      </w:r>
    </w:p>
    <w:p>
      <w:pPr>
        <w:spacing w:line="360" w:lineRule="auto"/>
        <w:rPr>
          <w:b/>
          <w:bCs/>
          <w:color w:val="000000"/>
        </w:rPr>
      </w:pPr>
      <w:r>
        <w:rPr>
          <w:rFonts w:hint="eastAsia"/>
          <w:b/>
          <w:bCs/>
          <w:color w:val="000000"/>
        </w:rPr>
        <w:t>4.1 售后服务要求：</w:t>
      </w:r>
    </w:p>
    <w:p>
      <w:pPr>
        <w:spacing w:line="360" w:lineRule="auto"/>
        <w:ind w:firstLine="420" w:firstLineChars="200"/>
        <w:rPr>
          <w:color w:val="000000"/>
        </w:rPr>
      </w:pPr>
      <w:r>
        <w:rPr>
          <w:rFonts w:hint="eastAsia"/>
          <w:color w:val="000000"/>
        </w:rPr>
        <w:t>项目验收合格后，终端硬件设备免费保修叁年，嵌入式自助服务软件免费提供壹年维保服务。质保期内，同一数据源表单增购数量不限。</w:t>
      </w:r>
    </w:p>
    <w:p>
      <w:pPr>
        <w:tabs>
          <w:tab w:val="left" w:pos="360"/>
        </w:tabs>
        <w:spacing w:line="360" w:lineRule="auto"/>
        <w:rPr>
          <w:b/>
          <w:sz w:val="28"/>
          <w:szCs w:val="28"/>
        </w:rPr>
      </w:pPr>
      <w:r>
        <w:rPr>
          <w:rFonts w:hint="eastAsia"/>
          <w:b/>
          <w:bCs/>
        </w:rPr>
        <w:t>4.2供货及项目交付要求：</w:t>
      </w:r>
    </w:p>
    <w:p>
      <w:pPr>
        <w:tabs>
          <w:tab w:val="left" w:pos="360"/>
        </w:tabs>
        <w:spacing w:line="360" w:lineRule="auto"/>
        <w:ind w:firstLine="420" w:firstLineChars="200"/>
      </w:pPr>
      <w:r>
        <w:rPr>
          <w:rFonts w:hint="eastAsia"/>
        </w:rPr>
        <w:t>供货商将原厂原包装未拆封的供货产品送货到学校指定地点，供货产品原厂原包装需清晰标识：设备名称、型号、生产厂家、原产地、通过国家强制CCC认证标识、符合国际环境管理体系及相关标准等产品信息，需确保与投标承诺的产品信息一致，否则，学校有权拒收。</w:t>
      </w:r>
    </w:p>
    <w:p>
      <w:pPr>
        <w:tabs>
          <w:tab w:val="left" w:pos="360"/>
        </w:tabs>
        <w:spacing w:line="360" w:lineRule="auto"/>
        <w:ind w:firstLine="420" w:firstLineChars="200"/>
        <w:rPr>
          <w:bCs/>
        </w:rPr>
      </w:pPr>
      <w:r>
        <w:rPr>
          <w:rFonts w:hint="eastAsia"/>
          <w:bCs/>
        </w:rPr>
        <w:t>项目交付周期：合同签订后30日内完成项目整体实施交付验收，如无法按期完成项目验收通过，学校有权单方终止采购合同并追究供货商赔偿责任。</w:t>
      </w:r>
    </w:p>
    <w:p>
      <w:pPr>
        <w:keepNext/>
        <w:keepLines/>
        <w:spacing w:before="60" w:after="60" w:line="360" w:lineRule="auto"/>
        <w:outlineLvl w:val="2"/>
        <w:rPr>
          <w:b/>
          <w:sz w:val="28"/>
          <w:szCs w:val="28"/>
        </w:rPr>
      </w:pPr>
      <w:bookmarkStart w:id="15" w:name="_Toc447740802"/>
      <w:r>
        <w:rPr>
          <w:rFonts w:hint="eastAsia"/>
          <w:b/>
          <w:sz w:val="28"/>
          <w:szCs w:val="28"/>
          <w:lang w:eastAsia="zh-CN"/>
        </w:rPr>
        <w:t>㈥</w:t>
      </w:r>
      <w:r>
        <w:rPr>
          <w:rFonts w:hint="eastAsia"/>
          <w:b/>
          <w:sz w:val="28"/>
          <w:szCs w:val="28"/>
        </w:rPr>
        <w:t>项目验收</w:t>
      </w:r>
      <w:bookmarkEnd w:id="15"/>
      <w:r>
        <w:rPr>
          <w:rFonts w:hint="eastAsia"/>
          <w:b/>
          <w:sz w:val="28"/>
          <w:szCs w:val="28"/>
        </w:rPr>
        <w:t>基本要求</w:t>
      </w:r>
    </w:p>
    <w:p>
      <w:pPr>
        <w:spacing w:before="120" w:after="120" w:line="360" w:lineRule="auto"/>
        <w:ind w:firstLine="420" w:firstLineChars="200"/>
      </w:pPr>
      <w:r>
        <w:rPr>
          <w:rFonts w:hint="eastAsia"/>
          <w:bCs/>
        </w:rPr>
        <w:t>本项目验收将严格按照采购内容详细需求中要求的各项功能逐项进行测试，所有功能参数都必须达标实现，并能按要求提供相关证书等证明材料，完全满足以上要求才视为项目验收合格，否则验收不合格，采购人有权单方终止采购合同并保留追究赔偿的权利。</w:t>
      </w:r>
    </w:p>
    <w:p>
      <w:pPr>
        <w:pStyle w:val="11"/>
        <w:spacing w:line="240" w:lineRule="auto"/>
        <w:rPr>
          <w:rFonts w:hAnsi="宋体" w:cs="宋体"/>
          <w:b/>
          <w:color w:val="auto"/>
        </w:rPr>
      </w:pPr>
      <w:r>
        <w:rPr>
          <w:rFonts w:hint="eastAsia" w:hAnsi="宋体" w:cs="宋体"/>
          <w:b/>
          <w:color w:val="auto"/>
          <w:lang w:eastAsia="zh-CN"/>
        </w:rPr>
        <w:t>三、</w:t>
      </w:r>
      <w:r>
        <w:rPr>
          <w:rFonts w:hint="eastAsia" w:hAnsi="宋体" w:cs="宋体"/>
          <w:b/>
          <w:color w:val="auto"/>
        </w:rPr>
        <w:t>商务要求</w:t>
      </w:r>
    </w:p>
    <w:p>
      <w:pPr>
        <w:snapToGrid w:val="0"/>
        <w:spacing w:line="240" w:lineRule="auto"/>
        <w:rPr>
          <w:rFonts w:ascii="宋体" w:hAnsi="宋体" w:cs="宋体"/>
          <w:b/>
          <w:bCs/>
          <w:color w:val="auto"/>
          <w:sz w:val="24"/>
        </w:rPr>
      </w:pPr>
      <w:r>
        <w:rPr>
          <w:rFonts w:hint="eastAsia" w:ascii="宋体" w:hAnsi="宋体" w:cs="宋体"/>
          <w:b/>
          <w:bCs/>
          <w:color w:val="auto"/>
          <w:sz w:val="24"/>
        </w:rPr>
        <w:t>1、项目投标报价要求</w:t>
      </w:r>
    </w:p>
    <w:p>
      <w:pPr>
        <w:snapToGrid w:val="0"/>
        <w:spacing w:line="240" w:lineRule="auto"/>
        <w:ind w:left="210" w:leftChars="100" w:firstLine="210" w:firstLineChars="100"/>
        <w:rPr>
          <w:rFonts w:ascii="宋体" w:hAnsi="宋体" w:cs="宋体"/>
          <w:color w:val="auto"/>
          <w:sz w:val="21"/>
          <w:szCs w:val="21"/>
        </w:rPr>
      </w:pPr>
      <w:r>
        <w:rPr>
          <w:rFonts w:hint="eastAsia" w:ascii="宋体" w:hAnsi="宋体" w:cs="宋体"/>
          <w:color w:val="auto"/>
          <w:sz w:val="21"/>
          <w:szCs w:val="21"/>
        </w:rPr>
        <w:t>（1）投标报价应包含完成本项目合同内容所涉及的全部费用，谈判响应方的谈判报价为整个采购项目的总报价，如有漏项，视同已包含在项目中，合同总价不做调整。</w:t>
      </w:r>
    </w:p>
    <w:p>
      <w:pPr>
        <w:snapToGrid w:val="0"/>
        <w:spacing w:line="240" w:lineRule="auto"/>
        <w:ind w:left="210" w:leftChars="100" w:firstLine="210" w:firstLineChars="100"/>
        <w:rPr>
          <w:rFonts w:ascii="宋体" w:hAnsi="宋体" w:cs="宋体"/>
          <w:color w:val="auto"/>
          <w:sz w:val="21"/>
          <w:szCs w:val="21"/>
        </w:rPr>
      </w:pPr>
      <w:r>
        <w:rPr>
          <w:rFonts w:hint="eastAsia" w:ascii="宋体" w:hAnsi="宋体" w:cs="宋体"/>
          <w:color w:val="auto"/>
          <w:sz w:val="21"/>
          <w:szCs w:val="21"/>
        </w:rPr>
        <w:t>（2）按国家规定由中标人缴纳的各种税收已包含在投标总价内，由中标人向税务机关缴纳。</w:t>
      </w:r>
    </w:p>
    <w:p>
      <w:pPr>
        <w:pStyle w:val="51"/>
        <w:spacing w:before="78" w:after="78" w:line="240" w:lineRule="auto"/>
        <w:jc w:val="left"/>
        <w:rPr>
          <w:rFonts w:ascii="宋体" w:hAnsi="宋体" w:cs="宋体"/>
          <w:b/>
          <w:bCs/>
          <w:color w:val="auto"/>
          <w:szCs w:val="24"/>
        </w:rPr>
      </w:pPr>
      <w:bookmarkStart w:id="16" w:name="_Toc225061454"/>
      <w:r>
        <w:rPr>
          <w:rFonts w:hint="eastAsia" w:ascii="宋体" w:hAnsi="宋体" w:cs="宋体"/>
          <w:b/>
          <w:bCs/>
          <w:color w:val="auto"/>
          <w:szCs w:val="24"/>
          <w:lang w:val="en-US" w:eastAsia="zh-CN"/>
        </w:rPr>
        <w:t>2</w:t>
      </w:r>
      <w:r>
        <w:rPr>
          <w:rFonts w:hint="eastAsia" w:ascii="宋体" w:hAnsi="宋体" w:cs="宋体"/>
          <w:b/>
          <w:bCs/>
          <w:color w:val="auto"/>
          <w:szCs w:val="24"/>
        </w:rPr>
        <w:t>、付款方式</w:t>
      </w:r>
    </w:p>
    <w:p>
      <w:pPr>
        <w:spacing w:line="240" w:lineRule="auto"/>
        <w:ind w:firstLine="420" w:firstLineChars="200"/>
        <w:rPr>
          <w:rFonts w:ascii="宋体" w:hAnsi="宋体"/>
          <w:color w:val="auto"/>
          <w:sz w:val="21"/>
          <w:szCs w:val="21"/>
        </w:rPr>
      </w:pPr>
      <w:r>
        <w:rPr>
          <w:rFonts w:hint="eastAsia" w:ascii="宋体" w:hAnsi="宋体"/>
          <w:color w:val="auto"/>
          <w:sz w:val="21"/>
          <w:szCs w:val="21"/>
        </w:rPr>
        <w:t>货款由采购人自行支付。全部货物安装完毕并验收合格后付至合同总额的95%；留5%作为质量保证金，在质保期履行满1年后10日内付清。</w:t>
      </w:r>
    </w:p>
    <w:bookmarkEnd w:id="16"/>
    <w:p>
      <w:pPr>
        <w:pStyle w:val="42"/>
        <w:pageBreakBefore/>
        <w:snapToGrid w:val="0"/>
        <w:spacing w:line="360" w:lineRule="auto"/>
        <w:jc w:val="center"/>
        <w:outlineLvl w:val="0"/>
        <w:rPr>
          <w:rFonts w:ascii="黑体" w:hAnsi="黑体" w:eastAsia="黑体"/>
          <w:color w:val="000000" w:themeColor="text1"/>
          <w:sz w:val="30"/>
          <w:szCs w:val="30"/>
          <w14:textFill>
            <w14:solidFill>
              <w14:schemeClr w14:val="tx1"/>
            </w14:solidFill>
          </w14:textFill>
        </w:rPr>
      </w:pPr>
      <w:bookmarkStart w:id="17" w:name="_Toc11670"/>
      <w:r>
        <w:rPr>
          <w:rFonts w:ascii="黑体" w:hAnsi="黑体" w:eastAsia="黑体"/>
          <w:color w:val="000000" w:themeColor="text1"/>
          <w:sz w:val="30"/>
          <w:szCs w:val="30"/>
          <w14:textFill>
            <w14:solidFill>
              <w14:schemeClr w14:val="tx1"/>
            </w14:solidFill>
          </w14:textFill>
        </w:rPr>
        <w:t xml:space="preserve">第三章  </w:t>
      </w:r>
      <w:r>
        <w:rPr>
          <w:rFonts w:hint="eastAsia" w:ascii="黑体" w:hAnsi="黑体" w:eastAsia="黑体" w:cs="Courier New"/>
          <w:color w:val="000000" w:themeColor="text1"/>
          <w:sz w:val="30"/>
          <w:szCs w:val="30"/>
          <w14:textFill>
            <w14:solidFill>
              <w14:schemeClr w14:val="tx1"/>
            </w14:solidFill>
          </w14:textFill>
        </w:rPr>
        <w:t>谈判响应方须知</w:t>
      </w:r>
      <w:bookmarkEnd w:id="17"/>
    </w:p>
    <w:p>
      <w:pPr>
        <w:spacing w:line="360" w:lineRule="auto"/>
        <w:jc w:val="center"/>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前附表</w:t>
      </w:r>
    </w:p>
    <w:tbl>
      <w:tblPr>
        <w:tblStyle w:val="21"/>
        <w:tblW w:w="9542" w:type="dxa"/>
        <w:jc w:val="center"/>
        <w:tblLayout w:type="fixed"/>
        <w:tblCellMar>
          <w:top w:w="0" w:type="dxa"/>
          <w:left w:w="108" w:type="dxa"/>
          <w:bottom w:w="0" w:type="dxa"/>
          <w:right w:w="108" w:type="dxa"/>
        </w:tblCellMar>
      </w:tblPr>
      <w:tblGrid>
        <w:gridCol w:w="778"/>
        <w:gridCol w:w="8764"/>
      </w:tblGrid>
      <w:tr>
        <w:tblPrEx>
          <w:tblCellMar>
            <w:top w:w="0" w:type="dxa"/>
            <w:left w:w="108" w:type="dxa"/>
            <w:bottom w:w="0" w:type="dxa"/>
            <w:right w:w="108" w:type="dxa"/>
          </w:tblCellMar>
        </w:tblPrEx>
        <w:trPr>
          <w:trHeight w:val="9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序号</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内容、要求</w:t>
            </w:r>
          </w:p>
        </w:tc>
      </w:tr>
      <w:tr>
        <w:tblPrEx>
          <w:tblCellMar>
            <w:top w:w="0" w:type="dxa"/>
            <w:left w:w="108" w:type="dxa"/>
            <w:bottom w:w="0" w:type="dxa"/>
            <w:right w:w="108" w:type="dxa"/>
          </w:tblCellMar>
        </w:tblPrEx>
        <w:trPr>
          <w:trHeight w:val="102"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浙江广厦建设职业技术大学</w:t>
            </w:r>
            <w:r>
              <w:rPr>
                <w:rFonts w:hint="eastAsia" w:ascii="宋体" w:hAnsi="宋体" w:cs="宋体"/>
                <w:color w:val="000000" w:themeColor="text1"/>
                <w:sz w:val="24"/>
                <w:lang w:eastAsia="zh-CN"/>
                <w14:textFill>
                  <w14:solidFill>
                    <w14:schemeClr w14:val="tx1"/>
                  </w14:solidFill>
                </w14:textFill>
              </w:rPr>
              <w:t>高校智能服务终端（含嵌入式智能服务软件V8.0）</w:t>
            </w:r>
          </w:p>
        </w:tc>
      </w:tr>
      <w:tr>
        <w:tblPrEx>
          <w:tblCellMar>
            <w:top w:w="0" w:type="dxa"/>
            <w:left w:w="108" w:type="dxa"/>
            <w:bottom w:w="0" w:type="dxa"/>
            <w:right w:w="108" w:type="dxa"/>
          </w:tblCellMar>
        </w:tblPrEx>
        <w:trPr>
          <w:trHeight w:val="203"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z w:val="24"/>
              </w:rPr>
              <w:t>谈判报价及费用：1、本项目谈判应以人民币报价；2、不论谈判结果如何，谈判响应方均应自行承担所有与谈判有关的全部费用；</w:t>
            </w:r>
          </w:p>
        </w:tc>
      </w:tr>
      <w:tr>
        <w:tblPrEx>
          <w:tblCellMar>
            <w:top w:w="0" w:type="dxa"/>
            <w:left w:w="108" w:type="dxa"/>
            <w:bottom w:w="0" w:type="dxa"/>
            <w:right w:w="108" w:type="dxa"/>
          </w:tblCellMar>
        </w:tblPrEx>
        <w:trPr>
          <w:trHeight w:val="102"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答疑与澄清：投标截止时间1日前，招标人在公告栏上以书面形式公布招标文件的澄清或修改，并通知所有的投标人。</w:t>
            </w:r>
          </w:p>
        </w:tc>
      </w:tr>
      <w:tr>
        <w:tblPrEx>
          <w:tblCellMar>
            <w:top w:w="0" w:type="dxa"/>
            <w:left w:w="108" w:type="dxa"/>
            <w:bottom w:w="0" w:type="dxa"/>
            <w:right w:w="108" w:type="dxa"/>
          </w:tblCellMar>
        </w:tblPrEx>
        <w:trPr>
          <w:trHeight w:val="102"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ascii="宋体" w:hAnsi="宋体" w:cs="宋体"/>
                <w:color w:val="C00000"/>
                <w:sz w:val="24"/>
              </w:rPr>
            </w:pPr>
            <w:r>
              <w:rPr>
                <w:rFonts w:hint="eastAsia" w:ascii="宋体" w:hAnsi="宋体" w:cs="宋体"/>
                <w:color w:val="C00000"/>
                <w:sz w:val="24"/>
              </w:rPr>
              <w:t>谈判响应文件的递交：</w:t>
            </w:r>
          </w:p>
          <w:p>
            <w:pPr>
              <w:spacing w:line="360" w:lineRule="auto"/>
              <w:rPr>
                <w:rFonts w:hint="default" w:ascii="宋体" w:hAnsi="宋体" w:cs="宋体"/>
                <w:color w:val="000000" w:themeColor="text1"/>
                <w:sz w:val="24"/>
                <w:lang w:val="en-US"/>
                <w14:textFill>
                  <w14:solidFill>
                    <w14:schemeClr w14:val="tx1"/>
                  </w14:solidFill>
                </w14:textFill>
              </w:rPr>
            </w:pPr>
            <w:r>
              <w:rPr>
                <w:rFonts w:hint="eastAsia" w:ascii="宋体" w:hAnsi="宋体" w:cs="宋体"/>
                <w:color w:val="C00000"/>
                <w:sz w:val="24"/>
              </w:rPr>
              <w:t>谈判响应方可以在谈判截止时间前将谈判响应文件</w:t>
            </w:r>
            <w:r>
              <w:rPr>
                <w:rFonts w:hint="eastAsia" w:ascii="宋体" w:hAnsi="宋体" w:cs="宋体"/>
                <w:color w:val="C00000"/>
                <w:sz w:val="24"/>
                <w:lang w:eastAsia="zh-CN"/>
              </w:rPr>
              <w:t>寄至</w:t>
            </w:r>
            <w:r>
              <w:rPr>
                <w:rFonts w:hint="eastAsia" w:ascii="宋体" w:hAnsi="宋体" w:cs="宋体"/>
                <w:color w:val="C00000"/>
                <w:sz w:val="24"/>
              </w:rPr>
              <w:t>浙江广厦建设职业技术大学</w:t>
            </w:r>
            <w:r>
              <w:rPr>
                <w:rFonts w:hint="eastAsia" w:ascii="宋体" w:hAnsi="宋体" w:cs="宋体"/>
                <w:color w:val="C00000"/>
                <w:sz w:val="24"/>
                <w:lang w:val="en-US" w:eastAsia="zh-CN"/>
              </w:rPr>
              <w:t xml:space="preserve">  </w:t>
            </w:r>
            <w:r>
              <w:rPr>
                <w:rFonts w:hint="eastAsia" w:ascii="宋体" w:hAnsi="宋体" w:cs="宋体"/>
                <w:color w:val="C00000"/>
                <w:sz w:val="24"/>
                <w:lang w:eastAsia="zh-CN"/>
              </w:rPr>
              <w:t>林青青</w:t>
            </w:r>
            <w:r>
              <w:rPr>
                <w:rFonts w:hint="eastAsia" w:ascii="宋体" w:hAnsi="宋体" w:cs="宋体"/>
                <w:color w:val="C00000"/>
                <w:sz w:val="24"/>
                <w:lang w:val="en-US" w:eastAsia="zh-CN"/>
              </w:rPr>
              <w:t>18405897695  邮编322100</w:t>
            </w:r>
          </w:p>
        </w:tc>
      </w:tr>
      <w:tr>
        <w:tblPrEx>
          <w:tblCellMar>
            <w:top w:w="0" w:type="dxa"/>
            <w:left w:w="108" w:type="dxa"/>
            <w:bottom w:w="0" w:type="dxa"/>
            <w:right w:w="108" w:type="dxa"/>
          </w:tblCellMar>
        </w:tblPrEx>
        <w:trPr>
          <w:trHeight w:val="555"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投标截止时间：</w:t>
            </w:r>
            <w:r>
              <w:rPr>
                <w:rFonts w:hint="eastAsia" w:ascii="宋体" w:hAnsi="宋体" w:cs="宋体"/>
                <w:color w:val="C00000"/>
                <w:sz w:val="24"/>
              </w:rPr>
              <w:t>2021年</w:t>
            </w:r>
            <w:r>
              <w:rPr>
                <w:rFonts w:hint="eastAsia" w:ascii="宋体" w:hAnsi="宋体" w:cs="宋体"/>
                <w:color w:val="C00000"/>
                <w:sz w:val="24"/>
                <w:lang w:eastAsia="zh-CN"/>
              </w:rPr>
              <w:t>11月26日14时00分</w:t>
            </w:r>
            <w:r>
              <w:rPr>
                <w:rFonts w:hint="eastAsia" w:ascii="宋体" w:hAnsi="宋体" w:cs="宋体"/>
                <w:color w:val="000000" w:themeColor="text1"/>
                <w:sz w:val="24"/>
                <w14:textFill>
                  <w14:solidFill>
                    <w14:schemeClr w14:val="tx1"/>
                  </w14:solidFill>
                </w14:textFill>
              </w:rPr>
              <w:t>前</w:t>
            </w:r>
          </w:p>
        </w:tc>
      </w:tr>
      <w:tr>
        <w:tblPrEx>
          <w:tblCellMar>
            <w:top w:w="0" w:type="dxa"/>
            <w:left w:w="108" w:type="dxa"/>
            <w:bottom w:w="0" w:type="dxa"/>
            <w:right w:w="108" w:type="dxa"/>
          </w:tblCellMar>
        </w:tblPrEx>
        <w:trPr>
          <w:trHeight w:val="153"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宋体" w:hAnsi="宋体" w:eastAsia="宋体" w:cs="宋体"/>
                <w:b/>
                <w:bCs/>
                <w:color w:val="C00000"/>
                <w:sz w:val="24"/>
                <w:lang w:eastAsia="zh-CN"/>
              </w:rPr>
            </w:pPr>
            <w:r>
              <w:rPr>
                <w:rFonts w:ascii="宋体" w:hAnsi="宋体" w:cs="宋体"/>
                <w:color w:val="000000" w:themeColor="text1"/>
                <w:sz w:val="24"/>
                <w14:textFill>
                  <w14:solidFill>
                    <w14:schemeClr w14:val="tx1"/>
                  </w14:solidFill>
                </w14:textFill>
              </w:rPr>
              <w:t>开标时间：</w:t>
            </w:r>
            <w:r>
              <w:rPr>
                <w:rFonts w:hint="eastAsia" w:ascii="宋体" w:hAnsi="宋体" w:cs="宋体"/>
                <w:color w:val="C00000"/>
                <w:sz w:val="24"/>
              </w:rPr>
              <w:t>2021年</w:t>
            </w:r>
            <w:r>
              <w:rPr>
                <w:rFonts w:hint="eastAsia" w:ascii="宋体" w:hAnsi="宋体" w:cs="宋体"/>
                <w:color w:val="C00000"/>
                <w:sz w:val="24"/>
                <w:lang w:eastAsia="zh-CN"/>
              </w:rPr>
              <w:t>11月26日14时00分</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开标地址：浙江广厦建设职业技术大学综合楼603开标室</w:t>
            </w:r>
          </w:p>
        </w:tc>
      </w:tr>
      <w:tr>
        <w:tblPrEx>
          <w:tblCellMar>
            <w:top w:w="0" w:type="dxa"/>
            <w:left w:w="108" w:type="dxa"/>
            <w:bottom w:w="0" w:type="dxa"/>
            <w:right w:w="108" w:type="dxa"/>
          </w:tblCellMar>
        </w:tblPrEx>
        <w:trPr>
          <w:trHeight w:val="9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7</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评标办法：</w:t>
            </w:r>
            <w:r>
              <w:rPr>
                <w:rFonts w:hint="eastAsia" w:ascii="宋体" w:hAnsi="宋体" w:cs="宋体"/>
                <w:sz w:val="24"/>
              </w:rPr>
              <w:t>单一来源</w:t>
            </w:r>
          </w:p>
        </w:tc>
      </w:tr>
      <w:tr>
        <w:tblPrEx>
          <w:tblCellMar>
            <w:top w:w="0" w:type="dxa"/>
            <w:left w:w="108" w:type="dxa"/>
            <w:bottom w:w="0" w:type="dxa"/>
            <w:right w:w="108" w:type="dxa"/>
          </w:tblCellMar>
        </w:tblPrEx>
        <w:trPr>
          <w:trHeight w:val="102"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8</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中标结果公告：自中标人确定之日起2个工作日内，招标人在公告栏上以书面形式公布中标结果。</w:t>
            </w:r>
          </w:p>
        </w:tc>
      </w:tr>
      <w:tr>
        <w:tblPrEx>
          <w:tblCellMar>
            <w:top w:w="0" w:type="dxa"/>
            <w:left w:w="108" w:type="dxa"/>
            <w:bottom w:w="0" w:type="dxa"/>
            <w:right w:w="108" w:type="dxa"/>
          </w:tblCellMar>
        </w:tblPrEx>
        <w:trPr>
          <w:trHeight w:val="102"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9</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《中标通知书》的领取时间：中标单位应在中标结果公告结束日起，在3个工作日内领取，否则按放弃中标资格处理。</w:t>
            </w:r>
          </w:p>
        </w:tc>
      </w:tr>
      <w:tr>
        <w:tblPrEx>
          <w:tblCellMar>
            <w:top w:w="0" w:type="dxa"/>
            <w:left w:w="108" w:type="dxa"/>
            <w:bottom w:w="0" w:type="dxa"/>
            <w:right w:w="108" w:type="dxa"/>
          </w:tblCellMar>
        </w:tblPrEx>
        <w:trPr>
          <w:trHeight w:val="354"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10</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履约保证金：</w:t>
            </w:r>
          </w:p>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履约保证金为合同价款的</w:t>
            </w:r>
            <w:r>
              <w:rPr>
                <w:rFonts w:hint="eastAsia" w:ascii="宋体" w:hAnsi="宋体" w:cs="宋体"/>
                <w:color w:val="000000" w:themeColor="text1"/>
                <w:sz w:val="24"/>
                <w14:textFill>
                  <w14:solidFill>
                    <w14:schemeClr w14:val="tx1"/>
                  </w14:solidFill>
                </w14:textFill>
              </w:rPr>
              <w:t>5</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转入</w:t>
            </w:r>
            <w:r>
              <w:rPr>
                <w:rFonts w:ascii="宋体" w:hAnsi="宋体" w:cs="宋体"/>
                <w:color w:val="000000" w:themeColor="text1"/>
                <w:sz w:val="24"/>
                <w14:textFill>
                  <w14:solidFill>
                    <w14:schemeClr w14:val="tx1"/>
                  </w14:solidFill>
                </w14:textFill>
              </w:rPr>
              <w:t>浙江广厦建设职业技术大学</w:t>
            </w:r>
            <w:r>
              <w:rPr>
                <w:rFonts w:hint="eastAsia" w:ascii="宋体" w:hAnsi="宋体" w:cs="宋体"/>
                <w:color w:val="000000" w:themeColor="text1"/>
                <w:sz w:val="24"/>
                <w14:textFill>
                  <w14:solidFill>
                    <w14:schemeClr w14:val="tx1"/>
                  </w14:solidFill>
                </w14:textFill>
              </w:rPr>
              <w:t>指定银行账号。</w:t>
            </w:r>
            <w:r>
              <w:rPr>
                <w:rFonts w:ascii="宋体" w:hAnsi="宋体" w:cs="宋体"/>
                <w:color w:val="000000" w:themeColor="text1"/>
                <w:sz w:val="24"/>
                <w14:textFill>
                  <w14:solidFill>
                    <w14:schemeClr w14:val="tx1"/>
                  </w14:solidFill>
                </w14:textFill>
              </w:rPr>
              <w:t>在项目完成且验收合格（由采购人出具验收合格报告，要求原件）之日起15个工作日内退还。</w:t>
            </w:r>
          </w:p>
        </w:tc>
      </w:tr>
      <w:tr>
        <w:tblPrEx>
          <w:tblCellMar>
            <w:top w:w="0" w:type="dxa"/>
            <w:left w:w="108" w:type="dxa"/>
            <w:bottom w:w="0" w:type="dxa"/>
            <w:right w:w="108" w:type="dxa"/>
          </w:tblCellMar>
        </w:tblPrEx>
        <w:trPr>
          <w:trHeight w:val="9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11</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签订合同时间：发出《中标通知书》之日起30天内。</w:t>
            </w:r>
          </w:p>
        </w:tc>
      </w:tr>
      <w:tr>
        <w:tblPrEx>
          <w:tblCellMar>
            <w:top w:w="0" w:type="dxa"/>
            <w:left w:w="108" w:type="dxa"/>
            <w:bottom w:w="0" w:type="dxa"/>
            <w:right w:w="108" w:type="dxa"/>
          </w:tblCellMar>
        </w:tblPrEx>
        <w:trPr>
          <w:trHeight w:val="9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12</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中</w:t>
            </w:r>
            <w:r>
              <w:rPr>
                <w:rFonts w:ascii="宋体" w:hAnsi="宋体" w:cs="宋体"/>
                <w:color w:val="000000" w:themeColor="text1"/>
                <w:sz w:val="24"/>
                <w14:textFill>
                  <w14:solidFill>
                    <w14:schemeClr w14:val="tx1"/>
                  </w14:solidFill>
                </w14:textFill>
              </w:rPr>
              <w:t>标人与浙江广厦建设职业技术大学签订合同。</w:t>
            </w:r>
          </w:p>
        </w:tc>
      </w:tr>
      <w:tr>
        <w:tblPrEx>
          <w:tblCellMar>
            <w:top w:w="0" w:type="dxa"/>
            <w:left w:w="108" w:type="dxa"/>
            <w:bottom w:w="0" w:type="dxa"/>
            <w:right w:w="108" w:type="dxa"/>
          </w:tblCellMar>
        </w:tblPrEx>
        <w:trPr>
          <w:trHeight w:val="253"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13</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交货地点：东阳市内，采购人指定的地点。</w:t>
            </w:r>
          </w:p>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验收：根据中华人民共和国现行技术标准，按招标文件以及合同规定的验收评定标准等规范，由采购人组织相关人员进行验收，验收合格后，采购人出具验收报告。采购人出具一式二份验收报告（不含其它单位存档份数），一份由中标人保管，一份由</w:t>
            </w:r>
            <w:r>
              <w:rPr>
                <w:rFonts w:hint="eastAsia" w:ascii="宋体" w:hAnsi="宋体" w:cs="宋体"/>
                <w:color w:val="000000" w:themeColor="text1"/>
                <w:sz w:val="24"/>
                <w14:textFill>
                  <w14:solidFill>
                    <w14:schemeClr w14:val="tx1"/>
                  </w14:solidFill>
                </w14:textFill>
              </w:rPr>
              <w:t>浙江广厦建设职业技术大学</w:t>
            </w:r>
            <w:r>
              <w:rPr>
                <w:rFonts w:ascii="宋体" w:hAnsi="宋体" w:cs="宋体"/>
                <w:color w:val="000000" w:themeColor="text1"/>
                <w:sz w:val="24"/>
                <w14:textFill>
                  <w14:solidFill>
                    <w14:schemeClr w14:val="tx1"/>
                  </w14:solidFill>
                </w14:textFill>
              </w:rPr>
              <w:t>（原件）存档。</w:t>
            </w:r>
          </w:p>
        </w:tc>
      </w:tr>
      <w:tr>
        <w:tblPrEx>
          <w:tblCellMar>
            <w:top w:w="0" w:type="dxa"/>
            <w:left w:w="108" w:type="dxa"/>
            <w:bottom w:w="0" w:type="dxa"/>
            <w:right w:w="108" w:type="dxa"/>
          </w:tblCellMar>
        </w:tblPrEx>
        <w:trPr>
          <w:trHeight w:val="9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14</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投标文件有效期：</w:t>
            </w:r>
            <w:r>
              <w:rPr>
                <w:rFonts w:ascii="宋体" w:hAnsi="宋体" w:cs="Arial"/>
                <w:color w:val="000000" w:themeColor="text1"/>
                <w:sz w:val="24"/>
                <w:u w:val="single"/>
                <w14:textFill>
                  <w14:solidFill>
                    <w14:schemeClr w14:val="tx1"/>
                  </w14:solidFill>
                </w14:textFill>
              </w:rPr>
              <w:t>60</w:t>
            </w:r>
            <w:r>
              <w:rPr>
                <w:rFonts w:ascii="宋体" w:hAnsi="宋体" w:cs="Arial"/>
                <w:color w:val="000000" w:themeColor="text1"/>
                <w:sz w:val="24"/>
                <w14:textFill>
                  <w14:solidFill>
                    <w14:schemeClr w14:val="tx1"/>
                  </w14:solidFill>
                </w14:textFill>
              </w:rPr>
              <w:t>天</w:t>
            </w:r>
          </w:p>
        </w:tc>
      </w:tr>
      <w:tr>
        <w:tblPrEx>
          <w:tblCellMar>
            <w:top w:w="0" w:type="dxa"/>
            <w:left w:w="108" w:type="dxa"/>
            <w:bottom w:w="0" w:type="dxa"/>
            <w:right w:w="108" w:type="dxa"/>
          </w:tblCellMar>
        </w:tblPrEx>
        <w:trPr>
          <w:trHeight w:val="9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15</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招标人对投标人的落选不作出任何解释。</w:t>
            </w:r>
          </w:p>
        </w:tc>
      </w:tr>
      <w:tr>
        <w:tblPrEx>
          <w:tblCellMar>
            <w:top w:w="0" w:type="dxa"/>
            <w:left w:w="108" w:type="dxa"/>
            <w:bottom w:w="0" w:type="dxa"/>
            <w:right w:w="108" w:type="dxa"/>
          </w:tblCellMar>
        </w:tblPrEx>
        <w:trPr>
          <w:trHeight w:val="138"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16</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招标人</w:t>
            </w:r>
            <w:r>
              <w:rPr>
                <w:rFonts w:hint="eastAsia" w:ascii="宋体" w:hAnsi="宋体" w:cs="宋体"/>
                <w:b/>
                <w:color w:val="000000" w:themeColor="text1"/>
                <w:sz w:val="24"/>
                <w14:textFill>
                  <w14:solidFill>
                    <w14:schemeClr w14:val="tx1"/>
                  </w14:solidFill>
                </w14:textFill>
              </w:rPr>
              <w:t>的</w:t>
            </w:r>
            <w:r>
              <w:rPr>
                <w:rFonts w:ascii="宋体" w:hAnsi="宋体" w:cs="宋体"/>
                <w:b/>
                <w:color w:val="000000" w:themeColor="text1"/>
                <w:sz w:val="24"/>
                <w14:textFill>
                  <w14:solidFill>
                    <w14:schemeClr w14:val="tx1"/>
                  </w14:solidFill>
                </w14:textFill>
              </w:rPr>
              <w:t>任何工作人员对投标人所作的任何口头解释、介绍、答复，仅供投标人参考，不作为招标依据，一切以网上公告及书面形式为准。</w:t>
            </w:r>
          </w:p>
        </w:tc>
      </w:tr>
      <w:tr>
        <w:tblPrEx>
          <w:tblCellMar>
            <w:top w:w="0" w:type="dxa"/>
            <w:left w:w="108" w:type="dxa"/>
            <w:bottom w:w="0" w:type="dxa"/>
            <w:right w:w="108" w:type="dxa"/>
          </w:tblCellMar>
        </w:tblPrEx>
        <w:trPr>
          <w:trHeight w:val="9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17</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解释：本招标文件的解释权属于</w:t>
            </w:r>
            <w:r>
              <w:rPr>
                <w:rFonts w:hint="eastAsia" w:ascii="宋体" w:hAnsi="宋体" w:cs="宋体"/>
                <w:color w:val="000000" w:themeColor="text1"/>
                <w:sz w:val="24"/>
                <w14:textFill>
                  <w14:solidFill>
                    <w14:schemeClr w14:val="tx1"/>
                  </w14:solidFill>
                </w14:textFill>
              </w:rPr>
              <w:t>浙江广厦建设职业技术大学</w:t>
            </w:r>
            <w:r>
              <w:rPr>
                <w:rFonts w:ascii="宋体" w:hAnsi="宋体" w:cs="宋体"/>
                <w:color w:val="000000" w:themeColor="text1"/>
                <w:sz w:val="24"/>
                <w14:textFill>
                  <w14:solidFill>
                    <w14:schemeClr w14:val="tx1"/>
                  </w14:solidFill>
                </w14:textFill>
              </w:rPr>
              <w:t>。</w:t>
            </w:r>
          </w:p>
        </w:tc>
      </w:tr>
    </w:tbl>
    <w:p>
      <w:pPr>
        <w:spacing w:line="276" w:lineRule="auto"/>
        <w:rPr>
          <w:rFonts w:cs="宋体"/>
          <w:b/>
          <w:color w:val="000000" w:themeColor="text1"/>
          <w14:textFill>
            <w14:solidFill>
              <w14:schemeClr w14:val="tx1"/>
            </w14:solidFill>
          </w14:textFill>
        </w:rPr>
      </w:pPr>
      <w:r>
        <w:rPr>
          <w:rFonts w:cs="宋体"/>
          <w:b/>
          <w:color w:val="000000" w:themeColor="text1"/>
          <w14:textFill>
            <w14:solidFill>
              <w14:schemeClr w14:val="tx1"/>
            </w14:solidFill>
          </w14:textFill>
        </w:rPr>
        <w:t>注：如本招标文件后面的条款与本表有矛盾的以本表的内容为准。</w:t>
      </w:r>
      <w:r>
        <w:rPr>
          <w:color w:val="000000" w:themeColor="text1"/>
          <w14:textFill>
            <w14:solidFill>
              <w14:schemeClr w14:val="tx1"/>
            </w14:solidFill>
          </w14:textFill>
        </w:rPr>
        <w:br w:type="page"/>
      </w:r>
    </w:p>
    <w:p>
      <w:pPr>
        <w:pStyle w:val="42"/>
        <w:snapToGrid w:val="0"/>
        <w:spacing w:line="360" w:lineRule="auto"/>
        <w:jc w:val="center"/>
        <w:rPr>
          <w:rFonts w:cs="宋体"/>
          <w:b/>
          <w:color w:val="000000" w:themeColor="text1"/>
          <w:sz w:val="28"/>
          <w:szCs w:val="28"/>
          <w14:textFill>
            <w14:solidFill>
              <w14:schemeClr w14:val="tx1"/>
            </w14:solidFill>
          </w14:textFill>
        </w:rPr>
      </w:pPr>
      <w:r>
        <w:rPr>
          <w:rFonts w:cs="宋体"/>
          <w:b/>
          <w:color w:val="000000" w:themeColor="text1"/>
          <w:sz w:val="28"/>
          <w:szCs w:val="28"/>
          <w14:textFill>
            <w14:solidFill>
              <w14:schemeClr w14:val="tx1"/>
            </w14:solidFill>
          </w14:textFill>
        </w:rPr>
        <w:t>一、总则</w:t>
      </w:r>
    </w:p>
    <w:p>
      <w:pPr>
        <w:autoSpaceDE w:val="0"/>
        <w:autoSpaceDN w:val="0"/>
        <w:spacing w:before="156" w:beforeLines="50" w:line="440" w:lineRule="exact"/>
        <w:textAlignment w:val="bottom"/>
        <w:rPr>
          <w:rFonts w:ascii="宋体" w:hAnsi="宋体" w:cs="宋体"/>
          <w:sz w:val="24"/>
        </w:rPr>
      </w:pPr>
      <w:r>
        <w:rPr>
          <w:rFonts w:hint="eastAsia" w:ascii="宋体" w:hAnsi="宋体" w:cs="宋体"/>
          <w:b/>
          <w:bCs/>
          <w:sz w:val="24"/>
        </w:rPr>
        <w:t>一、谈判响应文件的语言、计量及货币</w:t>
      </w:r>
    </w:p>
    <w:p>
      <w:pPr>
        <w:autoSpaceDE w:val="0"/>
        <w:autoSpaceDN w:val="0"/>
        <w:spacing w:line="440" w:lineRule="exact"/>
        <w:ind w:firstLine="480" w:firstLineChars="200"/>
        <w:textAlignment w:val="bottom"/>
        <w:rPr>
          <w:rFonts w:ascii="宋体" w:hAnsi="宋体" w:cs="宋体"/>
          <w:spacing w:val="-6"/>
          <w:kern w:val="0"/>
          <w:sz w:val="24"/>
        </w:rPr>
      </w:pPr>
      <w:r>
        <w:rPr>
          <w:rFonts w:hint="eastAsia" w:ascii="宋体" w:hAnsi="宋体" w:cs="宋体"/>
          <w:sz w:val="24"/>
        </w:rPr>
        <w:t>1. 与本次采购有关的来往通知、函件和文件均应使用中文</w:t>
      </w:r>
      <w:r>
        <w:rPr>
          <w:rFonts w:hint="eastAsia" w:ascii="宋体" w:hAnsi="宋体" w:cs="宋体"/>
          <w:spacing w:val="-6"/>
          <w:kern w:val="0"/>
          <w:sz w:val="24"/>
        </w:rPr>
        <w:t>编写。</w:t>
      </w:r>
    </w:p>
    <w:p>
      <w:pPr>
        <w:autoSpaceDE w:val="0"/>
        <w:autoSpaceDN w:val="0"/>
        <w:spacing w:line="440" w:lineRule="exact"/>
        <w:ind w:firstLine="480" w:firstLineChars="200"/>
        <w:textAlignment w:val="bottom"/>
        <w:rPr>
          <w:rFonts w:ascii="宋体" w:hAnsi="宋体" w:cs="宋体"/>
          <w:sz w:val="24"/>
        </w:rPr>
      </w:pPr>
      <w:r>
        <w:rPr>
          <w:rFonts w:hint="eastAsia" w:ascii="宋体" w:hAnsi="宋体" w:cs="宋体"/>
          <w:sz w:val="24"/>
        </w:rPr>
        <w:t>2. 除在技术规格中另有规定外，计量单位应使用公制单位。</w:t>
      </w:r>
    </w:p>
    <w:p>
      <w:pPr>
        <w:spacing w:line="440" w:lineRule="exact"/>
        <w:ind w:firstLine="480" w:firstLineChars="200"/>
        <w:rPr>
          <w:rFonts w:ascii="宋体" w:hAnsi="宋体" w:cs="宋体"/>
          <w:sz w:val="24"/>
        </w:rPr>
      </w:pPr>
      <w:r>
        <w:rPr>
          <w:rFonts w:hint="eastAsia" w:ascii="宋体" w:hAnsi="宋体" w:cs="宋体"/>
          <w:sz w:val="24"/>
        </w:rPr>
        <w:t>3. 货币为人民币，单位为元。</w:t>
      </w:r>
    </w:p>
    <w:p>
      <w:pPr>
        <w:spacing w:line="440" w:lineRule="exact"/>
        <w:ind w:firstLine="480" w:firstLineChars="200"/>
        <w:rPr>
          <w:rFonts w:ascii="宋体" w:hAnsi="宋体" w:cs="宋体"/>
          <w:sz w:val="24"/>
        </w:rPr>
      </w:pPr>
      <w:r>
        <w:rPr>
          <w:rFonts w:hint="eastAsia" w:ascii="宋体" w:hAnsi="宋体" w:cs="宋体"/>
          <w:sz w:val="24"/>
        </w:rPr>
        <w:t>4.</w:t>
      </w:r>
      <w:r>
        <w:rPr>
          <w:rFonts w:hint="eastAsia" w:ascii="宋体" w:hAnsi="宋体" w:cs="宋体"/>
        </w:rPr>
        <w:t xml:space="preserve"> </w:t>
      </w:r>
      <w:r>
        <w:rPr>
          <w:rFonts w:hint="eastAsia" w:ascii="宋体" w:hAnsi="宋体" w:cs="宋体"/>
          <w:sz w:val="24"/>
        </w:rPr>
        <w:t>“*”、 “▲”、 “★”、 “※”系指实质性要求条款，不允许负偏离，否则废标处理。</w:t>
      </w:r>
    </w:p>
    <w:p>
      <w:pPr>
        <w:spacing w:line="440" w:lineRule="exact"/>
        <w:rPr>
          <w:rFonts w:ascii="宋体" w:hAnsi="宋体" w:cs="宋体"/>
          <w:b/>
          <w:bCs/>
          <w:sz w:val="24"/>
        </w:rPr>
      </w:pPr>
      <w:r>
        <w:rPr>
          <w:rFonts w:hint="eastAsia" w:ascii="宋体" w:hAnsi="宋体" w:cs="宋体"/>
          <w:b/>
          <w:bCs/>
          <w:sz w:val="24"/>
        </w:rPr>
        <w:t>二、对谈判响应文件的要求</w:t>
      </w:r>
    </w:p>
    <w:p>
      <w:pPr>
        <w:spacing w:line="440" w:lineRule="exact"/>
        <w:ind w:firstLine="480" w:firstLineChars="200"/>
        <w:rPr>
          <w:rFonts w:ascii="宋体" w:hAnsi="宋体" w:cs="宋体"/>
          <w:sz w:val="24"/>
        </w:rPr>
      </w:pPr>
      <w:r>
        <w:rPr>
          <w:rFonts w:hint="eastAsia" w:ascii="宋体" w:hAnsi="宋体" w:cs="宋体"/>
          <w:sz w:val="24"/>
        </w:rPr>
        <w:t>谈判响应方应仔细阅读采购文件的所有内容，按采购文件的要求提供谈判响应文件，并保证所提供的全部资料的真实性，以使其谈判对采购文件做出实质性响应，否则，其谈判可能被拒绝。</w:t>
      </w:r>
    </w:p>
    <w:p>
      <w:pPr>
        <w:spacing w:line="440" w:lineRule="exact"/>
        <w:rPr>
          <w:rFonts w:ascii="宋体" w:hAnsi="宋体" w:cs="宋体"/>
          <w:b/>
          <w:bCs/>
          <w:sz w:val="24"/>
        </w:rPr>
      </w:pPr>
      <w:r>
        <w:rPr>
          <w:rFonts w:hint="eastAsia" w:ascii="宋体" w:hAnsi="宋体" w:cs="宋体"/>
          <w:b/>
          <w:bCs/>
          <w:sz w:val="24"/>
        </w:rPr>
        <w:t>三、谈判响应文件的编制</w:t>
      </w:r>
    </w:p>
    <w:p>
      <w:pPr>
        <w:spacing w:line="440" w:lineRule="exact"/>
        <w:ind w:firstLine="480" w:firstLineChars="200"/>
        <w:rPr>
          <w:rFonts w:ascii="宋体" w:hAnsi="宋体" w:cs="宋体"/>
          <w:bCs/>
          <w:sz w:val="24"/>
        </w:rPr>
      </w:pPr>
      <w:r>
        <w:rPr>
          <w:rFonts w:hint="eastAsia" w:ascii="宋体" w:hAnsi="宋体" w:cs="宋体"/>
          <w:bCs/>
          <w:sz w:val="24"/>
        </w:rPr>
        <w:t>谈判响应文件由《资格审查文件》、《商务技术文件》和《报价文件》三部分组成。</w:t>
      </w:r>
    </w:p>
    <w:p>
      <w:pPr>
        <w:spacing w:line="440" w:lineRule="exact"/>
        <w:rPr>
          <w:rFonts w:ascii="宋体" w:hAnsi="宋体" w:cs="宋体"/>
          <w:b/>
          <w:sz w:val="24"/>
        </w:rPr>
      </w:pPr>
      <w:r>
        <w:rPr>
          <w:rFonts w:hint="eastAsia" w:ascii="宋体" w:hAnsi="宋体" w:cs="宋体"/>
          <w:b/>
          <w:sz w:val="24"/>
        </w:rPr>
        <w:t>1.资格审查文件：</w:t>
      </w:r>
    </w:p>
    <w:p>
      <w:pPr>
        <w:adjustRightInd w:val="0"/>
        <w:snapToGrid w:val="0"/>
        <w:spacing w:line="440" w:lineRule="exact"/>
        <w:jc w:val="left"/>
        <w:rPr>
          <w:rFonts w:ascii="宋体" w:hAnsi="宋体"/>
          <w:sz w:val="24"/>
        </w:rPr>
      </w:pPr>
      <w:r>
        <w:rPr>
          <w:rFonts w:hint="eastAsia" w:ascii="宋体" w:hAnsi="宋体"/>
          <w:sz w:val="24"/>
        </w:rPr>
        <w:t>（1）有效的营业执照副本复印件；</w:t>
      </w:r>
    </w:p>
    <w:p>
      <w:pPr>
        <w:adjustRightInd w:val="0"/>
        <w:snapToGrid w:val="0"/>
        <w:spacing w:line="440" w:lineRule="exact"/>
        <w:jc w:val="left"/>
        <w:rPr>
          <w:rFonts w:ascii="宋体" w:hAnsi="宋体"/>
          <w:sz w:val="24"/>
        </w:rPr>
      </w:pPr>
      <w:r>
        <w:rPr>
          <w:rFonts w:hint="eastAsia" w:ascii="宋体" w:hAnsi="宋体"/>
          <w:sz w:val="24"/>
        </w:rPr>
        <w:t xml:space="preserve">（2）法定代表人身份证复印件或法定代表人授权委托书(格式见附件)； </w:t>
      </w:r>
    </w:p>
    <w:p>
      <w:pPr>
        <w:adjustRightInd w:val="0"/>
        <w:snapToGrid w:val="0"/>
        <w:spacing w:line="440" w:lineRule="exact"/>
        <w:jc w:val="left"/>
        <w:rPr>
          <w:rFonts w:ascii="宋体" w:hAnsi="宋体"/>
          <w:sz w:val="24"/>
        </w:rPr>
      </w:pPr>
      <w:r>
        <w:rPr>
          <w:rFonts w:hint="eastAsia" w:ascii="宋体" w:hAnsi="宋体"/>
          <w:sz w:val="24"/>
        </w:rPr>
        <w:t>（3）提供近六个月税收缴纳凭证；</w:t>
      </w:r>
    </w:p>
    <w:p>
      <w:pPr>
        <w:adjustRightInd w:val="0"/>
        <w:snapToGrid w:val="0"/>
        <w:spacing w:line="440" w:lineRule="exact"/>
        <w:jc w:val="left"/>
        <w:rPr>
          <w:rFonts w:ascii="宋体" w:hAnsi="宋体"/>
          <w:sz w:val="24"/>
        </w:rPr>
      </w:pPr>
      <w:r>
        <w:rPr>
          <w:rFonts w:hint="eastAsia" w:ascii="宋体" w:hAnsi="宋体"/>
          <w:sz w:val="24"/>
        </w:rPr>
        <w:t>（4）谈判响应方连续近六个月社保缴纳凭证；</w:t>
      </w:r>
    </w:p>
    <w:p>
      <w:pPr>
        <w:adjustRightInd w:val="0"/>
        <w:snapToGrid w:val="0"/>
        <w:spacing w:line="440" w:lineRule="exact"/>
        <w:jc w:val="left"/>
        <w:rPr>
          <w:rFonts w:ascii="宋体" w:hAnsi="宋体"/>
          <w:sz w:val="24"/>
        </w:rPr>
      </w:pPr>
      <w:r>
        <w:rPr>
          <w:rFonts w:hint="eastAsia" w:ascii="宋体" w:hAnsi="宋体"/>
          <w:sz w:val="24"/>
        </w:rPr>
        <w:t>（5）谈判响应方本单位缴纳社保人员花名册；</w:t>
      </w:r>
    </w:p>
    <w:p>
      <w:pPr>
        <w:adjustRightInd w:val="0"/>
        <w:snapToGrid w:val="0"/>
        <w:spacing w:line="440" w:lineRule="exact"/>
        <w:jc w:val="left"/>
        <w:rPr>
          <w:rFonts w:ascii="宋体" w:hAnsi="宋体"/>
          <w:sz w:val="24"/>
        </w:rPr>
      </w:pPr>
      <w:r>
        <w:rPr>
          <w:rFonts w:hint="eastAsia" w:ascii="宋体" w:hAnsi="宋体"/>
          <w:sz w:val="24"/>
        </w:rPr>
        <w:t>（6）谈判响应方情况介绍；</w:t>
      </w:r>
    </w:p>
    <w:p>
      <w:pPr>
        <w:adjustRightInd w:val="0"/>
        <w:snapToGrid w:val="0"/>
        <w:spacing w:line="440" w:lineRule="exact"/>
        <w:jc w:val="left"/>
        <w:rPr>
          <w:rFonts w:ascii="宋体" w:hAnsi="宋体"/>
          <w:sz w:val="24"/>
        </w:rPr>
      </w:pPr>
      <w:r>
        <w:rPr>
          <w:rFonts w:hint="eastAsia" w:ascii="宋体" w:hAnsi="宋体"/>
          <w:sz w:val="24"/>
        </w:rPr>
        <w:t>（7）谈判响应方认为有必要提供的其它文件。</w:t>
      </w:r>
    </w:p>
    <w:p>
      <w:pPr>
        <w:spacing w:line="440" w:lineRule="exact"/>
        <w:rPr>
          <w:rFonts w:ascii="宋体" w:hAnsi="宋体" w:cs="宋体"/>
          <w:b/>
          <w:bCs/>
          <w:sz w:val="24"/>
        </w:rPr>
      </w:pPr>
      <w:r>
        <w:rPr>
          <w:rFonts w:hint="eastAsia" w:ascii="宋体" w:hAnsi="宋体" w:cs="宋体"/>
          <w:b/>
          <w:bCs/>
          <w:sz w:val="24"/>
        </w:rPr>
        <w:t>2、《商务技术文件》包括：</w:t>
      </w:r>
    </w:p>
    <w:p>
      <w:pPr>
        <w:adjustRightInd w:val="0"/>
        <w:snapToGrid w:val="0"/>
        <w:spacing w:line="440" w:lineRule="exact"/>
        <w:jc w:val="left"/>
        <w:rPr>
          <w:rFonts w:ascii="宋体" w:hAnsi="宋体"/>
          <w:sz w:val="24"/>
        </w:rPr>
      </w:pPr>
      <w:r>
        <w:rPr>
          <w:rFonts w:hint="eastAsia" w:ascii="宋体" w:hAnsi="宋体"/>
          <w:sz w:val="24"/>
        </w:rPr>
        <w:t>（1）提供针对项目的实施方案；</w:t>
      </w:r>
    </w:p>
    <w:p>
      <w:pPr>
        <w:adjustRightInd w:val="0"/>
        <w:snapToGrid w:val="0"/>
        <w:spacing w:line="440" w:lineRule="exact"/>
        <w:jc w:val="left"/>
        <w:rPr>
          <w:rFonts w:ascii="宋体" w:hAnsi="宋体"/>
          <w:sz w:val="24"/>
        </w:rPr>
      </w:pPr>
      <w:r>
        <w:rPr>
          <w:rFonts w:hint="eastAsia" w:ascii="宋体" w:hAnsi="宋体"/>
          <w:sz w:val="24"/>
        </w:rPr>
        <w:t>（2）针对本项目的详细实施计划；</w:t>
      </w:r>
    </w:p>
    <w:p>
      <w:pPr>
        <w:adjustRightInd w:val="0"/>
        <w:snapToGrid w:val="0"/>
        <w:spacing w:line="440" w:lineRule="exact"/>
        <w:jc w:val="left"/>
        <w:rPr>
          <w:rFonts w:ascii="宋体" w:hAnsi="宋体"/>
          <w:sz w:val="24"/>
        </w:rPr>
      </w:pPr>
      <w:r>
        <w:rPr>
          <w:rFonts w:hint="eastAsia" w:ascii="宋体" w:hAnsi="宋体"/>
          <w:sz w:val="24"/>
        </w:rPr>
        <w:t>（3）售后服务方案；</w:t>
      </w:r>
    </w:p>
    <w:p>
      <w:pPr>
        <w:adjustRightInd w:val="0"/>
        <w:snapToGrid w:val="0"/>
        <w:spacing w:line="440" w:lineRule="exact"/>
        <w:jc w:val="left"/>
        <w:rPr>
          <w:rFonts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）售后服务响应时间</w:t>
      </w:r>
      <w:r>
        <w:rPr>
          <w:rFonts w:hint="eastAsia" w:ascii="宋体" w:hAnsi="宋体"/>
          <w:snapToGrid w:val="0"/>
          <w:sz w:val="24"/>
        </w:rPr>
        <w:t>；</w:t>
      </w:r>
    </w:p>
    <w:p>
      <w:pPr>
        <w:snapToGrid w:val="0"/>
        <w:spacing w:line="440" w:lineRule="exact"/>
        <w:jc w:val="left"/>
        <w:rPr>
          <w:rFonts w:ascii="宋体" w:hAnsi="宋体" w:cs="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w:t>
      </w:r>
      <w:r>
        <w:rPr>
          <w:rFonts w:hint="eastAsia" w:ascii="宋体" w:hAnsi="宋体" w:cs="宋体"/>
          <w:sz w:val="24"/>
        </w:rPr>
        <w:t>谈判响应方</w:t>
      </w:r>
      <w:r>
        <w:rPr>
          <w:rFonts w:hint="eastAsia" w:ascii="宋体" w:hAnsi="宋体" w:cs="宋体"/>
          <w:bCs/>
          <w:sz w:val="24"/>
        </w:rPr>
        <w:t>认</w:t>
      </w:r>
      <w:r>
        <w:rPr>
          <w:rFonts w:hint="eastAsia" w:ascii="宋体" w:hAnsi="宋体" w:cs="宋体"/>
          <w:sz w:val="24"/>
        </w:rPr>
        <w:t>为有必要提供的其它文件。</w:t>
      </w:r>
    </w:p>
    <w:p>
      <w:pPr>
        <w:spacing w:line="440" w:lineRule="exact"/>
        <w:rPr>
          <w:rFonts w:ascii="宋体" w:hAnsi="宋体" w:cs="宋体"/>
          <w:b/>
          <w:bCs/>
          <w:sz w:val="24"/>
        </w:rPr>
      </w:pPr>
      <w:r>
        <w:rPr>
          <w:rFonts w:hint="eastAsia" w:ascii="宋体" w:hAnsi="宋体" w:cs="宋体"/>
          <w:b/>
          <w:bCs/>
          <w:sz w:val="24"/>
        </w:rPr>
        <w:t>3、《报价文件》包括：</w:t>
      </w:r>
    </w:p>
    <w:p>
      <w:pPr>
        <w:spacing w:line="440" w:lineRule="exact"/>
        <w:rPr>
          <w:rFonts w:ascii="宋体" w:hAnsi="宋体" w:cs="宋体"/>
          <w:bCs/>
          <w:sz w:val="24"/>
        </w:rPr>
      </w:pPr>
      <w:r>
        <w:rPr>
          <w:rFonts w:hint="eastAsia" w:ascii="宋体" w:hAnsi="宋体" w:cs="宋体"/>
          <w:bCs/>
          <w:sz w:val="24"/>
        </w:rPr>
        <w:t>（1）投标书（格式见附件）；</w:t>
      </w:r>
    </w:p>
    <w:p>
      <w:pPr>
        <w:spacing w:line="440" w:lineRule="exact"/>
        <w:rPr>
          <w:rFonts w:ascii="宋体" w:hAnsi="宋体" w:cs="宋体"/>
          <w:bCs/>
          <w:sz w:val="24"/>
        </w:rPr>
      </w:pPr>
      <w:r>
        <w:rPr>
          <w:rFonts w:hint="eastAsia" w:ascii="宋体" w:hAnsi="宋体" w:cs="宋体"/>
          <w:bCs/>
          <w:sz w:val="24"/>
        </w:rPr>
        <w:t>（2）初次报价表；</w:t>
      </w:r>
    </w:p>
    <w:p>
      <w:pPr>
        <w:overflowPunct w:val="0"/>
        <w:autoSpaceDE w:val="0"/>
        <w:autoSpaceDN w:val="0"/>
        <w:adjustRightInd w:val="0"/>
        <w:spacing w:line="440" w:lineRule="exact"/>
        <w:textAlignment w:val="baseline"/>
        <w:rPr>
          <w:rFonts w:hint="eastAsia" w:ascii="宋体" w:hAnsi="宋体" w:cs="宋体"/>
          <w:b/>
          <w:bCs/>
          <w:kern w:val="0"/>
          <w:sz w:val="24"/>
        </w:rPr>
      </w:pPr>
    </w:p>
    <w:p>
      <w:pPr>
        <w:overflowPunct w:val="0"/>
        <w:autoSpaceDE w:val="0"/>
        <w:autoSpaceDN w:val="0"/>
        <w:adjustRightInd w:val="0"/>
        <w:spacing w:line="440" w:lineRule="exact"/>
        <w:textAlignment w:val="baseline"/>
        <w:rPr>
          <w:rFonts w:ascii="宋体" w:hAnsi="宋体" w:cs="宋体"/>
          <w:b/>
          <w:bCs/>
          <w:kern w:val="0"/>
          <w:sz w:val="24"/>
        </w:rPr>
      </w:pPr>
      <w:r>
        <w:rPr>
          <w:rFonts w:hint="eastAsia" w:ascii="宋体" w:hAnsi="宋体" w:cs="宋体"/>
          <w:b/>
          <w:bCs/>
          <w:kern w:val="0"/>
          <w:sz w:val="24"/>
        </w:rPr>
        <w:t>四、谈判报价</w:t>
      </w:r>
    </w:p>
    <w:p>
      <w:pPr>
        <w:overflowPunct w:val="0"/>
        <w:autoSpaceDE w:val="0"/>
        <w:autoSpaceDN w:val="0"/>
        <w:adjustRightInd w:val="0"/>
        <w:spacing w:line="440" w:lineRule="exact"/>
        <w:textAlignment w:val="baseline"/>
        <w:rPr>
          <w:rFonts w:ascii="宋体" w:hAnsi="宋体" w:cs="宋体"/>
          <w:bCs/>
          <w:kern w:val="0"/>
          <w:sz w:val="24"/>
        </w:rPr>
      </w:pPr>
      <w:r>
        <w:rPr>
          <w:rFonts w:hint="eastAsia" w:ascii="宋体" w:hAnsi="宋体" w:cs="宋体"/>
          <w:bCs/>
          <w:kern w:val="0"/>
          <w:sz w:val="24"/>
        </w:rPr>
        <w:t>1.谈判报价最高限价：1</w:t>
      </w:r>
      <w:r>
        <w:rPr>
          <w:rFonts w:hint="eastAsia" w:ascii="宋体" w:hAnsi="宋体" w:cs="宋体"/>
          <w:bCs/>
          <w:kern w:val="0"/>
          <w:sz w:val="24"/>
          <w:lang w:val="en-US" w:eastAsia="zh-CN"/>
        </w:rPr>
        <w:t>2</w:t>
      </w:r>
      <w:r>
        <w:rPr>
          <w:rFonts w:hint="eastAsia" w:ascii="宋体" w:hAnsi="宋体" w:cs="宋体"/>
          <w:bCs/>
          <w:kern w:val="0"/>
          <w:sz w:val="24"/>
        </w:rPr>
        <w:t>万元</w:t>
      </w:r>
      <w:r>
        <w:rPr>
          <w:rFonts w:ascii="宋体" w:hAnsi="宋体" w:cs="宋体"/>
          <w:bCs/>
          <w:kern w:val="0"/>
          <w:sz w:val="24"/>
        </w:rPr>
        <w:t xml:space="preserve">； </w:t>
      </w:r>
    </w:p>
    <w:p>
      <w:pPr>
        <w:spacing w:line="440" w:lineRule="exact"/>
        <w:rPr>
          <w:rFonts w:ascii="宋体" w:hAnsi="宋体" w:cs="宋体"/>
          <w:spacing w:val="-4"/>
          <w:sz w:val="24"/>
        </w:rPr>
      </w:pPr>
      <w:r>
        <w:rPr>
          <w:rFonts w:hint="eastAsia" w:ascii="宋体" w:hAnsi="宋体" w:cs="宋体"/>
          <w:sz w:val="24"/>
        </w:rPr>
        <w:t>2.谈判</w:t>
      </w:r>
      <w:r>
        <w:rPr>
          <w:rFonts w:hint="eastAsia" w:ascii="宋体" w:hAnsi="宋体" w:cs="宋体"/>
          <w:spacing w:val="-4"/>
          <w:sz w:val="24"/>
        </w:rPr>
        <w:t>报价是履行合同的最终价格，</w:t>
      </w:r>
      <w:r>
        <w:rPr>
          <w:rFonts w:hint="eastAsia" w:ascii="宋体" w:hAnsi="宋体" w:cs="宋体"/>
          <w:sz w:val="24"/>
        </w:rPr>
        <w:t>应包含完成本项目合同内容所涉及的全部费用。</w:t>
      </w:r>
      <w:r>
        <w:rPr>
          <w:rFonts w:hint="eastAsia" w:ascii="宋体" w:hAnsi="宋体" w:cs="宋体"/>
          <w:spacing w:val="-4"/>
          <w:sz w:val="24"/>
        </w:rPr>
        <w:t>谈判响应</w:t>
      </w:r>
      <w:r>
        <w:rPr>
          <w:rFonts w:hint="eastAsia" w:ascii="宋体" w:hAnsi="宋体" w:cs="宋体"/>
          <w:bCs/>
          <w:spacing w:val="-4"/>
          <w:sz w:val="24"/>
        </w:rPr>
        <w:t>方</w:t>
      </w:r>
      <w:r>
        <w:rPr>
          <w:rFonts w:hint="eastAsia" w:ascii="宋体" w:hAnsi="宋体" w:cs="宋体"/>
          <w:spacing w:val="-4"/>
          <w:sz w:val="24"/>
        </w:rPr>
        <w:t>的谈判报价为整个采购项目的总报价，如有漏项，视同已包含在项目中，合同总价不做调整。</w:t>
      </w:r>
    </w:p>
    <w:p>
      <w:pPr>
        <w:spacing w:line="440" w:lineRule="exact"/>
        <w:rPr>
          <w:rFonts w:ascii="宋体" w:hAnsi="宋体" w:cs="宋体"/>
          <w:sz w:val="24"/>
        </w:rPr>
      </w:pPr>
      <w:r>
        <w:rPr>
          <w:rFonts w:hint="eastAsia" w:ascii="宋体" w:hAnsi="宋体" w:cs="宋体"/>
          <w:sz w:val="24"/>
        </w:rPr>
        <w:t>3</w:t>
      </w:r>
      <w:r>
        <w:rPr>
          <w:rFonts w:hint="eastAsia" w:ascii="宋体" w:hAnsi="宋体" w:cs="宋体"/>
          <w:sz w:val="24"/>
          <w:lang w:eastAsia="zh-CN"/>
        </w:rPr>
        <w:t>.</w:t>
      </w:r>
      <w:r>
        <w:rPr>
          <w:rFonts w:hint="eastAsia" w:ascii="宋体" w:hAnsi="宋体" w:cs="宋体"/>
          <w:sz w:val="24"/>
        </w:rPr>
        <w:t>谈判响应方应在谈判响应文件和报价表上写明谈判单价和谈判总价。如果大写金额和小写金额不一致的，以大写金额为准；总价金额与单价汇总金额不一致的，以单价金额计算结果为准；单价金额小数点有明显错位的，应以总价为准，并修改单价；对不同文字文体谈判响应文件的解释发生异议的，以中文文件为准。</w:t>
      </w:r>
    </w:p>
    <w:p>
      <w:pPr>
        <w:overflowPunct w:val="0"/>
        <w:autoSpaceDE w:val="0"/>
        <w:autoSpaceDN w:val="0"/>
        <w:adjustRightInd w:val="0"/>
        <w:spacing w:line="440" w:lineRule="exact"/>
        <w:textAlignment w:val="baseline"/>
        <w:rPr>
          <w:rFonts w:ascii="宋体" w:hAnsi="宋体" w:cs="宋体"/>
          <w:b/>
          <w:bCs/>
          <w:kern w:val="0"/>
          <w:sz w:val="24"/>
        </w:rPr>
      </w:pPr>
      <w:r>
        <w:rPr>
          <w:rFonts w:hint="eastAsia" w:ascii="宋体" w:hAnsi="宋体" w:cs="宋体"/>
          <w:b/>
          <w:bCs/>
          <w:kern w:val="0"/>
          <w:sz w:val="24"/>
        </w:rPr>
        <w:t>五、履约保证金</w:t>
      </w:r>
    </w:p>
    <w:p>
      <w:pPr>
        <w:spacing w:line="440" w:lineRule="exact"/>
        <w:rPr>
          <w:rFonts w:ascii="宋体" w:hAnsi="宋体" w:cs="宋体"/>
          <w:sz w:val="24"/>
        </w:rPr>
      </w:pPr>
      <w:r>
        <w:rPr>
          <w:rFonts w:hint="eastAsia" w:ascii="宋体" w:hAnsi="宋体" w:cs="宋体"/>
          <w:b/>
          <w:bCs/>
          <w:kern w:val="0"/>
          <w:sz w:val="24"/>
        </w:rPr>
        <w:t xml:space="preserve"> </w:t>
      </w:r>
      <w:r>
        <w:rPr>
          <w:rFonts w:hint="eastAsia" w:ascii="宋体" w:hAnsi="宋体" w:cs="宋体"/>
          <w:sz w:val="24"/>
        </w:rPr>
        <w:t>▲1.保证金形式：</w:t>
      </w:r>
      <w:r>
        <w:rPr>
          <w:rFonts w:hint="eastAsia" w:ascii="宋体" w:hAnsi="宋体" w:cs="宋体"/>
          <w:sz w:val="24"/>
          <w:u w:val="single"/>
        </w:rPr>
        <w:t>汇票、电汇、转帐</w:t>
      </w:r>
      <w:r>
        <w:rPr>
          <w:rFonts w:hint="eastAsia" w:ascii="宋体" w:hAnsi="宋体" w:cs="宋体"/>
          <w:sz w:val="24"/>
        </w:rPr>
        <w:t xml:space="preserve">   </w:t>
      </w:r>
    </w:p>
    <w:p>
      <w:pPr>
        <w:spacing w:line="440" w:lineRule="exact"/>
        <w:ind w:firstLine="120" w:firstLineChars="50"/>
        <w:rPr>
          <w:rFonts w:ascii="宋体" w:hAnsi="宋体" w:cs="宋体"/>
          <w:sz w:val="24"/>
        </w:rPr>
      </w:pPr>
      <w:r>
        <w:rPr>
          <w:rFonts w:hint="eastAsia" w:ascii="宋体" w:hAnsi="宋体" w:cs="宋体"/>
          <w:sz w:val="24"/>
        </w:rPr>
        <w:t>▲2.中标人应在中标通知书发出后</w:t>
      </w:r>
      <w:r>
        <w:rPr>
          <w:rFonts w:hint="eastAsia" w:ascii="宋体" w:hAnsi="宋体" w:cs="宋体"/>
          <w:sz w:val="24"/>
          <w:u w:val="single"/>
        </w:rPr>
        <w:t>30</w:t>
      </w:r>
      <w:r>
        <w:rPr>
          <w:rFonts w:hint="eastAsia" w:ascii="宋体" w:hAnsi="宋体" w:cs="宋体"/>
          <w:sz w:val="24"/>
        </w:rPr>
        <w:t>日内与采购人签订合同，履约保证金为中标价的5%，在领取中标通知书前向采购人指定账户交纳。</w:t>
      </w:r>
    </w:p>
    <w:p>
      <w:pPr>
        <w:overflowPunct w:val="0"/>
        <w:autoSpaceDE w:val="0"/>
        <w:autoSpaceDN w:val="0"/>
        <w:adjustRightInd w:val="0"/>
        <w:spacing w:line="440" w:lineRule="exact"/>
        <w:textAlignment w:val="baseline"/>
        <w:rPr>
          <w:rFonts w:ascii="宋体" w:hAnsi="宋体" w:cs="宋体"/>
          <w:b/>
          <w:bCs/>
          <w:kern w:val="0"/>
          <w:sz w:val="24"/>
        </w:rPr>
      </w:pPr>
      <w:r>
        <w:rPr>
          <w:rFonts w:hint="eastAsia" w:ascii="宋体" w:hAnsi="宋体" w:cs="宋体"/>
          <w:b/>
          <w:bCs/>
          <w:kern w:val="0"/>
          <w:sz w:val="24"/>
        </w:rPr>
        <w:t>六、谈判响应文件有效期</w:t>
      </w:r>
    </w:p>
    <w:p>
      <w:pPr>
        <w:spacing w:line="440" w:lineRule="exact"/>
        <w:ind w:firstLine="480" w:firstLineChars="200"/>
        <w:rPr>
          <w:rFonts w:ascii="宋体" w:hAnsi="宋体" w:cs="宋体"/>
          <w:sz w:val="24"/>
        </w:rPr>
      </w:pPr>
      <w:r>
        <w:rPr>
          <w:rFonts w:hint="eastAsia" w:ascii="宋体" w:hAnsi="宋体" w:cs="宋体"/>
          <w:sz w:val="24"/>
        </w:rPr>
        <w:t>1、自谈判截止日起60天谈判响应文件应保持有效。有效期不足的谈判响应文件将被拒绝。</w:t>
      </w:r>
    </w:p>
    <w:p>
      <w:pPr>
        <w:spacing w:line="440" w:lineRule="exact"/>
        <w:ind w:firstLine="480" w:firstLineChars="200"/>
        <w:rPr>
          <w:rFonts w:ascii="宋体" w:hAnsi="宋体" w:cs="宋体"/>
          <w:sz w:val="24"/>
        </w:rPr>
      </w:pPr>
      <w:r>
        <w:rPr>
          <w:rFonts w:hint="eastAsia" w:ascii="宋体" w:hAnsi="宋体" w:cs="宋体"/>
          <w:sz w:val="24"/>
        </w:rPr>
        <w:t>2、在特殊情况下，谈判方可与谈判响应方协商延长谈判响应文件的有效期，这种要求和答复均以书面形式进行。</w:t>
      </w:r>
    </w:p>
    <w:p>
      <w:pPr>
        <w:spacing w:line="440" w:lineRule="exact"/>
        <w:ind w:firstLine="480" w:firstLineChars="200"/>
        <w:rPr>
          <w:rFonts w:ascii="宋体" w:hAnsi="宋体" w:cs="宋体"/>
          <w:sz w:val="24"/>
        </w:rPr>
      </w:pPr>
      <w:r>
        <w:rPr>
          <w:rFonts w:hint="eastAsia" w:ascii="宋体" w:hAnsi="宋体" w:cs="宋体"/>
          <w:sz w:val="24"/>
        </w:rPr>
        <w:t xml:space="preserve">3、谈判响应方可拒绝接受延期要求，但不能修改谈判响应文件。 </w:t>
      </w:r>
    </w:p>
    <w:p>
      <w:pPr>
        <w:spacing w:line="440" w:lineRule="exact"/>
        <w:ind w:firstLine="480" w:firstLineChars="200"/>
        <w:rPr>
          <w:rFonts w:ascii="宋体" w:hAnsi="宋体" w:cs="宋体"/>
          <w:sz w:val="24"/>
        </w:rPr>
      </w:pPr>
      <w:r>
        <w:rPr>
          <w:rFonts w:hint="eastAsia" w:ascii="宋体" w:hAnsi="宋体" w:cs="宋体"/>
          <w:sz w:val="24"/>
        </w:rPr>
        <w:t>4、中标人的谈判响应文件自开标之日起至合同履行完毕止均应保持有效。</w:t>
      </w:r>
    </w:p>
    <w:p>
      <w:pPr>
        <w:spacing w:line="360" w:lineRule="auto"/>
        <w:rPr>
          <w:rFonts w:ascii="宋体" w:hAnsi="宋体" w:cs="宋体"/>
          <w:b/>
          <w:sz w:val="24"/>
        </w:rPr>
      </w:pPr>
      <w:r>
        <w:rPr>
          <w:rFonts w:hint="eastAsia" w:ascii="宋体" w:hAnsi="宋体" w:cs="宋体"/>
          <w:b/>
          <w:sz w:val="24"/>
          <w:lang w:eastAsia="zh-CN"/>
        </w:rPr>
        <w:t>七、</w:t>
      </w:r>
      <w:r>
        <w:rPr>
          <w:rFonts w:ascii="宋体" w:hAnsi="宋体" w:cs="宋体"/>
          <w:b/>
          <w:sz w:val="24"/>
        </w:rPr>
        <w:t>投标文件的签署和份数</w:t>
      </w:r>
    </w:p>
    <w:p>
      <w:pPr>
        <w:spacing w:line="360" w:lineRule="auto"/>
        <w:ind w:firstLine="600"/>
        <w:rPr>
          <w:rFonts w:ascii="宋体" w:hAnsi="宋体" w:cs="宋体"/>
          <w:sz w:val="24"/>
        </w:rPr>
      </w:pPr>
      <w:r>
        <w:rPr>
          <w:rFonts w:ascii="宋体" w:hAnsi="宋体" w:cs="宋体"/>
          <w:sz w:val="24"/>
        </w:rPr>
        <w:t>1.投标人应按本招标文件规定的格式和顺序编制、装订投标文件并标注页码，投标文件内容不完整、编排混乱导致投标文件被误读、漏读或者查找不到相关内容的，是投标人的责任。</w:t>
      </w:r>
    </w:p>
    <w:p>
      <w:pPr>
        <w:spacing w:line="360" w:lineRule="auto"/>
        <w:ind w:firstLine="480"/>
        <w:rPr>
          <w:rFonts w:ascii="宋体" w:hAnsi="宋体" w:cs="宋体"/>
          <w:sz w:val="24"/>
        </w:rPr>
      </w:pPr>
      <w:r>
        <w:rPr>
          <w:rFonts w:ascii="宋体" w:hAnsi="宋体" w:cs="宋体"/>
          <w:sz w:val="24"/>
        </w:rPr>
        <w:t>2</w:t>
      </w:r>
      <w:r>
        <w:rPr>
          <w:rFonts w:ascii="宋体" w:hAnsi="宋体" w:cs="宋体"/>
          <w:spacing w:val="-10"/>
          <w:sz w:val="24"/>
        </w:rPr>
        <w:t>.投标文件应按正本1份和副本</w:t>
      </w:r>
      <w:r>
        <w:rPr>
          <w:rFonts w:hint="eastAsia" w:ascii="宋体" w:hAnsi="宋体" w:cs="宋体"/>
          <w:spacing w:val="-10"/>
          <w:sz w:val="24"/>
          <w:lang w:val="en-US" w:eastAsia="zh-CN"/>
        </w:rPr>
        <w:t>2</w:t>
      </w:r>
      <w:r>
        <w:rPr>
          <w:rFonts w:ascii="宋体" w:hAnsi="宋体" w:cs="宋体"/>
          <w:spacing w:val="-10"/>
          <w:sz w:val="24"/>
        </w:rPr>
        <w:t>份编制并单独装订成册，投标文件的封面应注明“正本”、“副本”字样。</w:t>
      </w:r>
    </w:p>
    <w:p>
      <w:pPr>
        <w:spacing w:line="360" w:lineRule="auto"/>
        <w:ind w:firstLine="480"/>
        <w:rPr>
          <w:rFonts w:ascii="宋体" w:hAnsi="宋体" w:cs="宋体"/>
          <w:sz w:val="24"/>
        </w:rPr>
      </w:pPr>
      <w:r>
        <w:rPr>
          <w:rFonts w:ascii="宋体" w:hAnsi="宋体" w:cs="宋体"/>
          <w:sz w:val="24"/>
        </w:rPr>
        <w:t>3.投标文件需打印或用不褪色的墨水填写，投标文件正本除本《投标人须知》中规定的可提供复印件外均须提供原件，副本可为正本的复印件。</w:t>
      </w:r>
    </w:p>
    <w:p>
      <w:pPr>
        <w:spacing w:line="360" w:lineRule="auto"/>
        <w:ind w:firstLine="472"/>
        <w:rPr>
          <w:rFonts w:ascii="宋体" w:hAnsi="宋体" w:cs="宋体"/>
          <w:b/>
          <w:sz w:val="24"/>
        </w:rPr>
      </w:pPr>
      <w:r>
        <w:rPr>
          <w:rFonts w:ascii="宋体" w:hAnsi="宋体" w:cs="宋体"/>
          <w:b/>
          <w:sz w:val="24"/>
        </w:rPr>
        <w:t>4.投标文件需盖章签字的地方必须由投标人法定代表人或法定代表人的授权委托人签署并加盖单位公章，投标人应写全称。</w:t>
      </w:r>
    </w:p>
    <w:p>
      <w:pPr>
        <w:spacing w:line="360" w:lineRule="auto"/>
        <w:ind w:firstLine="480"/>
        <w:rPr>
          <w:rFonts w:ascii="宋体" w:hAnsi="宋体" w:cs="宋体"/>
          <w:sz w:val="24"/>
        </w:rPr>
      </w:pPr>
      <w:r>
        <w:rPr>
          <w:rFonts w:ascii="宋体" w:hAnsi="宋体" w:cs="宋体"/>
          <w:sz w:val="24"/>
        </w:rPr>
        <w:t>5</w:t>
      </w:r>
      <w:r>
        <w:rPr>
          <w:rFonts w:ascii="宋体" w:hAnsi="宋体" w:cs="宋体"/>
          <w:spacing w:val="-6"/>
          <w:sz w:val="24"/>
        </w:rPr>
        <w:t>.投标文件不得涂改，若有修改错漏处，须加盖单位公章或者法定代表人或授权委托人签字或盖章。投标文件因字迹潦草或表达不清所引起的后果由投标人负责。</w:t>
      </w:r>
    </w:p>
    <w:p>
      <w:pPr>
        <w:spacing w:line="360" w:lineRule="auto"/>
        <w:rPr>
          <w:rFonts w:ascii="宋体" w:hAnsi="宋体" w:cs="宋体"/>
          <w:b/>
          <w:sz w:val="24"/>
        </w:rPr>
      </w:pPr>
      <w:r>
        <w:rPr>
          <w:rFonts w:hint="eastAsia" w:ascii="宋体" w:hAnsi="宋体" w:cs="宋体"/>
          <w:b/>
          <w:sz w:val="24"/>
          <w:lang w:eastAsia="zh-CN"/>
        </w:rPr>
        <w:t>八、</w:t>
      </w:r>
      <w:r>
        <w:rPr>
          <w:rFonts w:ascii="宋体" w:hAnsi="宋体" w:cs="宋体"/>
          <w:b/>
          <w:sz w:val="24"/>
        </w:rPr>
        <w:t>投标文件的装订、包装、递交、修改和撤回</w:t>
      </w:r>
    </w:p>
    <w:p>
      <w:pPr>
        <w:spacing w:line="360" w:lineRule="auto"/>
        <w:ind w:firstLine="480"/>
        <w:rPr>
          <w:rFonts w:ascii="宋体" w:hAnsi="宋体" w:cs="宋体"/>
          <w:sz w:val="24"/>
        </w:rPr>
      </w:pPr>
      <w:r>
        <w:rPr>
          <w:rFonts w:ascii="宋体" w:hAnsi="宋体" w:cs="宋体"/>
          <w:sz w:val="24"/>
        </w:rPr>
        <w:t>1.投标文件的包装和密封</w:t>
      </w:r>
    </w:p>
    <w:p>
      <w:pPr>
        <w:spacing w:line="360" w:lineRule="auto"/>
        <w:ind w:firstLine="480"/>
        <w:rPr>
          <w:rFonts w:ascii="宋体" w:hAnsi="宋体" w:cs="宋体"/>
          <w:sz w:val="24"/>
        </w:rPr>
      </w:pPr>
      <w:r>
        <w:rPr>
          <w:rFonts w:ascii="宋体" w:hAnsi="宋体" w:cs="宋体"/>
          <w:sz w:val="24"/>
        </w:rPr>
        <w:t>1.1投标文件应装订成册，按照投标文件的内容包装密封；</w:t>
      </w:r>
    </w:p>
    <w:p>
      <w:pPr>
        <w:spacing w:line="360" w:lineRule="auto"/>
        <w:ind w:firstLine="480"/>
        <w:rPr>
          <w:rFonts w:ascii="宋体" w:hAnsi="宋体" w:cs="宋体"/>
          <w:sz w:val="24"/>
        </w:rPr>
      </w:pPr>
      <w:r>
        <w:rPr>
          <w:rFonts w:ascii="宋体" w:hAnsi="宋体" w:cs="宋体"/>
          <w:sz w:val="24"/>
        </w:rPr>
        <w:t>1.2密封包装袋内装投标文件正本1份和副本</w:t>
      </w:r>
      <w:r>
        <w:rPr>
          <w:rFonts w:hint="eastAsia" w:ascii="宋体" w:hAnsi="宋体" w:cs="宋体"/>
          <w:sz w:val="24"/>
          <w:lang w:val="en-US" w:eastAsia="zh-CN"/>
        </w:rPr>
        <w:t>2</w:t>
      </w:r>
      <w:r>
        <w:rPr>
          <w:rFonts w:ascii="宋体" w:hAnsi="宋体" w:cs="宋体"/>
          <w:sz w:val="24"/>
        </w:rPr>
        <w:t>份；</w:t>
      </w:r>
    </w:p>
    <w:p>
      <w:pPr>
        <w:spacing w:line="360" w:lineRule="auto"/>
        <w:ind w:firstLine="480"/>
        <w:rPr>
          <w:rFonts w:ascii="宋体" w:hAnsi="宋体" w:cs="宋体"/>
          <w:sz w:val="24"/>
        </w:rPr>
      </w:pPr>
      <w:r>
        <w:rPr>
          <w:rFonts w:ascii="宋体" w:hAnsi="宋体" w:cs="宋体"/>
          <w:sz w:val="24"/>
        </w:rPr>
        <w:t>1.3密封包装袋封面上应标明“招标编号、投标项目名称、投标文件名称、投标人名称、</w:t>
      </w:r>
      <w:r>
        <w:rPr>
          <w:rFonts w:ascii="宋体" w:hAnsi="宋体" w:cs="宋体"/>
          <w:color w:val="C00000"/>
          <w:sz w:val="24"/>
        </w:rPr>
        <w:t>于2021年</w:t>
      </w:r>
      <w:r>
        <w:rPr>
          <w:rFonts w:hint="eastAsia" w:ascii="宋体" w:hAnsi="宋体" w:cs="宋体"/>
          <w:color w:val="C00000"/>
          <w:sz w:val="24"/>
          <w:lang w:val="en-US" w:eastAsia="zh-CN"/>
        </w:rPr>
        <w:t>11</w:t>
      </w:r>
      <w:r>
        <w:rPr>
          <w:rFonts w:ascii="宋体" w:hAnsi="宋体" w:cs="宋体"/>
          <w:color w:val="C00000"/>
          <w:sz w:val="24"/>
        </w:rPr>
        <w:t>月</w:t>
      </w:r>
      <w:r>
        <w:rPr>
          <w:rFonts w:hint="eastAsia" w:ascii="宋体" w:hAnsi="宋体" w:cs="宋体"/>
          <w:color w:val="C00000"/>
          <w:sz w:val="24"/>
          <w:lang w:val="en-US" w:eastAsia="zh-CN"/>
        </w:rPr>
        <w:t>26</w:t>
      </w:r>
      <w:r>
        <w:rPr>
          <w:rFonts w:ascii="宋体" w:hAnsi="宋体" w:cs="宋体"/>
          <w:color w:val="C00000"/>
          <w:sz w:val="24"/>
        </w:rPr>
        <w:t>日1</w:t>
      </w:r>
      <w:r>
        <w:rPr>
          <w:rFonts w:hint="eastAsia" w:ascii="宋体" w:hAnsi="宋体" w:cs="宋体"/>
          <w:color w:val="C00000"/>
          <w:sz w:val="24"/>
          <w:lang w:val="en-US" w:eastAsia="zh-CN"/>
        </w:rPr>
        <w:t>4</w:t>
      </w:r>
      <w:r>
        <w:rPr>
          <w:rFonts w:ascii="宋体" w:hAnsi="宋体" w:cs="宋体"/>
          <w:color w:val="C00000"/>
          <w:sz w:val="24"/>
        </w:rPr>
        <w:t>时00分前不准启封</w:t>
      </w:r>
      <w:r>
        <w:rPr>
          <w:rFonts w:ascii="宋体" w:hAnsi="宋体" w:cs="宋体"/>
          <w:sz w:val="24"/>
        </w:rPr>
        <w:t>”等，并在各封口骑缝加盖单位公章；</w:t>
      </w:r>
    </w:p>
    <w:p>
      <w:pPr>
        <w:spacing w:line="360" w:lineRule="auto"/>
        <w:ind w:firstLine="480"/>
        <w:rPr>
          <w:rFonts w:ascii="宋体" w:hAnsi="宋体" w:cs="宋体"/>
          <w:sz w:val="24"/>
        </w:rPr>
      </w:pPr>
      <w:r>
        <w:rPr>
          <w:rFonts w:ascii="宋体" w:hAnsi="宋体" w:cs="宋体"/>
          <w:sz w:val="24"/>
        </w:rPr>
        <w:t>2.未按规定密封或标记的投标文件将被拒绝，由此造成投标文件被误投或提前拆封的风险由投标人承担。</w:t>
      </w:r>
    </w:p>
    <w:p>
      <w:pPr>
        <w:spacing w:line="360" w:lineRule="auto"/>
        <w:ind w:firstLine="480"/>
        <w:rPr>
          <w:rFonts w:ascii="宋体" w:hAnsi="宋体" w:cs="宋体"/>
          <w:sz w:val="24"/>
        </w:rPr>
      </w:pPr>
      <w:r>
        <w:rPr>
          <w:rFonts w:ascii="宋体" w:hAnsi="宋体" w:cs="宋体"/>
          <w:sz w:val="24"/>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pPr>
        <w:spacing w:line="360" w:lineRule="auto"/>
        <w:rPr>
          <w:rFonts w:ascii="宋体" w:hAnsi="宋体" w:cs="宋体"/>
          <w:b/>
          <w:sz w:val="24"/>
        </w:rPr>
      </w:pPr>
      <w:r>
        <w:rPr>
          <w:rFonts w:hint="eastAsia" w:ascii="宋体" w:hAnsi="宋体" w:cs="宋体"/>
          <w:b/>
          <w:sz w:val="24"/>
          <w:lang w:eastAsia="zh-CN"/>
        </w:rPr>
        <w:t>九、</w:t>
      </w:r>
      <w:r>
        <w:rPr>
          <w:rFonts w:ascii="宋体" w:hAnsi="宋体" w:cs="宋体"/>
          <w:b/>
          <w:sz w:val="24"/>
        </w:rPr>
        <w:t>投标无效的情形</w:t>
      </w:r>
    </w:p>
    <w:p>
      <w:pPr>
        <w:spacing w:line="360" w:lineRule="auto"/>
        <w:ind w:firstLine="480"/>
        <w:rPr>
          <w:rFonts w:ascii="宋体" w:hAnsi="宋体" w:cs="宋体"/>
          <w:bCs/>
          <w:sz w:val="24"/>
        </w:rPr>
      </w:pPr>
      <w:r>
        <w:rPr>
          <w:rFonts w:ascii="宋体" w:hAnsi="宋体" w:cs="宋体"/>
          <w:bCs/>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pacing w:line="360" w:lineRule="auto"/>
        <w:ind w:firstLine="472"/>
        <w:rPr>
          <w:rFonts w:cs="宋体"/>
          <w:b/>
          <w:bCs/>
          <w:sz w:val="24"/>
        </w:rPr>
      </w:pPr>
      <w:r>
        <w:rPr>
          <w:rFonts w:cs="宋体"/>
          <w:b/>
          <w:bCs/>
          <w:sz w:val="24"/>
        </w:rPr>
        <w:t>1.在评审时，如发现下列情形之一的，投标文件将被视为无效：</w:t>
      </w:r>
    </w:p>
    <w:p>
      <w:pPr>
        <w:spacing w:line="360" w:lineRule="auto"/>
        <w:ind w:firstLine="480"/>
        <w:rPr>
          <w:rFonts w:cs="宋体"/>
          <w:bCs/>
          <w:sz w:val="24"/>
        </w:rPr>
      </w:pPr>
      <w:r>
        <w:rPr>
          <w:rFonts w:cs="宋体"/>
          <w:bCs/>
          <w:sz w:val="24"/>
        </w:rPr>
        <w:t>（1）未进行报名登记的；</w:t>
      </w:r>
    </w:p>
    <w:p>
      <w:pPr>
        <w:spacing w:line="360" w:lineRule="auto"/>
        <w:ind w:firstLine="480"/>
        <w:rPr>
          <w:rFonts w:cs="宋体"/>
          <w:bCs/>
          <w:sz w:val="24"/>
        </w:rPr>
      </w:pPr>
      <w:r>
        <w:rPr>
          <w:rFonts w:cs="宋体"/>
          <w:bCs/>
          <w:sz w:val="24"/>
        </w:rPr>
        <w:t>（2）投标文件未按招标文件要求密封、包装的；</w:t>
      </w:r>
    </w:p>
    <w:p>
      <w:pPr>
        <w:spacing w:line="360" w:lineRule="auto"/>
        <w:ind w:firstLine="480"/>
        <w:rPr>
          <w:rFonts w:cs="宋体"/>
          <w:bCs/>
          <w:sz w:val="24"/>
        </w:rPr>
      </w:pPr>
      <w:r>
        <w:rPr>
          <w:rFonts w:cs="宋体"/>
          <w:bCs/>
          <w:sz w:val="24"/>
        </w:rPr>
        <w:t>（3）社保不能提供真实性查询证明的；</w:t>
      </w:r>
    </w:p>
    <w:p>
      <w:pPr>
        <w:spacing w:line="360" w:lineRule="auto"/>
        <w:ind w:firstLine="480"/>
        <w:rPr>
          <w:rFonts w:cs="宋体"/>
          <w:bCs/>
          <w:sz w:val="24"/>
        </w:rPr>
      </w:pPr>
      <w:r>
        <w:rPr>
          <w:rFonts w:cs="宋体"/>
          <w:bCs/>
          <w:sz w:val="24"/>
        </w:rPr>
        <w:t>（4）投标文件无法定代表人签字、或未提供法定代表人授权委托书、投标声明书或者填写项目不齐全的；</w:t>
      </w:r>
    </w:p>
    <w:p>
      <w:pPr>
        <w:spacing w:line="360" w:lineRule="auto"/>
        <w:ind w:firstLine="480"/>
        <w:rPr>
          <w:rFonts w:cs="宋体"/>
          <w:bCs/>
          <w:sz w:val="24"/>
        </w:rPr>
      </w:pPr>
      <w:r>
        <w:rPr>
          <w:rFonts w:cs="宋体"/>
          <w:bCs/>
          <w:sz w:val="24"/>
        </w:rPr>
        <w:t>（5）投标文件格式未按招标文件规定格式的、未按招标文件规定的内容编制投标文件的或者内容虚假的、未按规定签字或盖章的；</w:t>
      </w:r>
    </w:p>
    <w:p>
      <w:pPr>
        <w:spacing w:line="360" w:lineRule="auto"/>
        <w:ind w:firstLine="480"/>
        <w:rPr>
          <w:rFonts w:cs="宋体"/>
          <w:bCs/>
          <w:sz w:val="24"/>
        </w:rPr>
      </w:pPr>
      <w:r>
        <w:rPr>
          <w:rFonts w:cs="宋体"/>
          <w:bCs/>
          <w:sz w:val="24"/>
        </w:rPr>
        <w:t>（6）投标文件的实质性内容未使用中文表述的或意思表述不明确、前后矛盾的或者使用计量单位不符合招标文件要求的（经评标委员会认定并允许其当场更正的笔误除外）</w:t>
      </w:r>
    </w:p>
    <w:p>
      <w:pPr>
        <w:spacing w:line="360" w:lineRule="auto"/>
        <w:ind w:firstLine="480"/>
        <w:rPr>
          <w:rFonts w:cs="宋体"/>
          <w:bCs/>
          <w:sz w:val="24"/>
        </w:rPr>
      </w:pPr>
      <w:r>
        <w:rPr>
          <w:rFonts w:cs="宋体"/>
          <w:bCs/>
          <w:sz w:val="24"/>
        </w:rPr>
        <w:t>（7）投标有效期、交货时间、质保期等商务条款不能满足招标文件要求的；</w:t>
      </w:r>
    </w:p>
    <w:p>
      <w:pPr>
        <w:spacing w:line="360" w:lineRule="auto"/>
        <w:ind w:firstLine="480"/>
        <w:rPr>
          <w:rFonts w:cs="宋体"/>
          <w:bCs/>
          <w:sz w:val="24"/>
        </w:rPr>
      </w:pPr>
      <w:r>
        <w:rPr>
          <w:rFonts w:cs="宋体"/>
          <w:bCs/>
          <w:sz w:val="24"/>
        </w:rPr>
        <w:t>（8）未实质性响应招标文件要求或者投标文件有招标方不能接受的附加条件的；</w:t>
      </w:r>
    </w:p>
    <w:p>
      <w:pPr>
        <w:spacing w:line="360" w:lineRule="auto"/>
        <w:ind w:firstLine="480"/>
        <w:rPr>
          <w:rFonts w:cs="宋体"/>
          <w:bCs/>
          <w:sz w:val="24"/>
        </w:rPr>
      </w:pPr>
      <w:r>
        <w:rPr>
          <w:rFonts w:cs="宋体"/>
          <w:bCs/>
          <w:sz w:val="24"/>
        </w:rPr>
        <w:t>（9）投标文件标明的响应或偏离与事实不符的或虚假投标的；</w:t>
      </w:r>
    </w:p>
    <w:p>
      <w:pPr>
        <w:spacing w:line="360" w:lineRule="auto"/>
        <w:ind w:firstLine="480"/>
        <w:rPr>
          <w:rFonts w:cs="宋体"/>
          <w:bCs/>
          <w:sz w:val="24"/>
        </w:rPr>
      </w:pPr>
      <w:r>
        <w:rPr>
          <w:rFonts w:cs="宋体"/>
          <w:bCs/>
          <w:sz w:val="24"/>
        </w:rPr>
        <w:t>（10）明显不符合招标文件质量标准的，或者与招标文件中标有“*</w:t>
      </w:r>
      <w:r>
        <w:rPr>
          <w:rFonts w:ascii="宋体" w:hAnsi="宋体" w:cs="宋体"/>
          <w:bCs/>
          <w:sz w:val="24"/>
        </w:rPr>
        <w:t>”</w:t>
      </w:r>
      <w:r>
        <w:rPr>
          <w:rFonts w:cs="宋体"/>
          <w:bCs/>
          <w:sz w:val="24"/>
        </w:rPr>
        <w:t>、“▲”、“※”、“★”的技术指标、主要功能项目发生实质性偏离的；</w:t>
      </w:r>
    </w:p>
    <w:p>
      <w:pPr>
        <w:spacing w:line="360" w:lineRule="auto"/>
        <w:ind w:firstLine="480"/>
        <w:rPr>
          <w:rFonts w:cs="宋体"/>
          <w:bCs/>
          <w:sz w:val="24"/>
        </w:rPr>
      </w:pPr>
      <w:r>
        <w:rPr>
          <w:rFonts w:cs="宋体"/>
          <w:bCs/>
          <w:sz w:val="24"/>
        </w:rPr>
        <w:t>（11）招标文件中允许偏离的技术、性能指标或者辅助功能发生较大负偏离的，经评标委员会认定对项目实际使用造成影响的；</w:t>
      </w:r>
    </w:p>
    <w:p>
      <w:pPr>
        <w:spacing w:line="360" w:lineRule="auto"/>
        <w:ind w:firstLine="480"/>
        <w:rPr>
          <w:rFonts w:cs="宋体"/>
          <w:bCs/>
          <w:sz w:val="24"/>
        </w:rPr>
      </w:pPr>
      <w:r>
        <w:rPr>
          <w:rFonts w:cs="宋体"/>
          <w:bCs/>
          <w:sz w:val="24"/>
        </w:rPr>
        <w:t>（12）投标技术方案不明确，存在一个或一个以上备选（替代）投标方案的；</w:t>
      </w:r>
    </w:p>
    <w:p>
      <w:pPr>
        <w:spacing w:line="360" w:lineRule="auto"/>
        <w:ind w:firstLine="480"/>
        <w:rPr>
          <w:rFonts w:cs="宋体"/>
          <w:bCs/>
          <w:sz w:val="24"/>
        </w:rPr>
      </w:pPr>
      <w:r>
        <w:rPr>
          <w:rFonts w:cs="宋体"/>
          <w:bCs/>
          <w:sz w:val="24"/>
        </w:rPr>
        <w:t>（13）未采用人民币报价或者未按照招标文件标明的币种报价的；</w:t>
      </w:r>
    </w:p>
    <w:p>
      <w:pPr>
        <w:spacing w:line="360" w:lineRule="auto"/>
        <w:ind w:firstLine="360"/>
        <w:rPr>
          <w:rFonts w:cs="宋体"/>
          <w:bCs/>
          <w:sz w:val="24"/>
        </w:rPr>
      </w:pPr>
      <w:r>
        <w:rPr>
          <w:rFonts w:cs="宋体"/>
          <w:bCs/>
          <w:sz w:val="24"/>
        </w:rPr>
        <w:t>（14）报价超出用户设定的最高限价的。</w:t>
      </w:r>
    </w:p>
    <w:p>
      <w:pPr>
        <w:spacing w:line="360" w:lineRule="auto"/>
        <w:ind w:firstLine="480"/>
        <w:rPr>
          <w:rFonts w:cs="宋体"/>
          <w:bCs/>
          <w:sz w:val="24"/>
        </w:rPr>
      </w:pPr>
      <w:r>
        <w:rPr>
          <w:rFonts w:cs="宋体"/>
          <w:bCs/>
          <w:sz w:val="24"/>
        </w:rPr>
        <w:t>（15）法律、法规规定的其它投标无效情况。</w:t>
      </w:r>
    </w:p>
    <w:p>
      <w:pPr>
        <w:spacing w:line="360" w:lineRule="auto"/>
        <w:ind w:firstLine="480"/>
        <w:rPr>
          <w:rFonts w:cs="宋体"/>
          <w:b/>
          <w:bCs w:val="0"/>
          <w:sz w:val="24"/>
        </w:rPr>
      </w:pPr>
      <w:r>
        <w:rPr>
          <w:rFonts w:cs="宋体"/>
          <w:b/>
          <w:bCs w:val="0"/>
          <w:sz w:val="24"/>
        </w:rPr>
        <w:t>2.被拒绝的投标文件为无效。</w:t>
      </w:r>
    </w:p>
    <w:p>
      <w:pPr>
        <w:spacing w:line="440" w:lineRule="exact"/>
        <w:ind w:firstLine="482" w:firstLineChars="200"/>
        <w:rPr>
          <w:rFonts w:hint="eastAsia" w:ascii="宋体" w:hAnsi="宋体"/>
          <w:b/>
          <w:bCs w:val="0"/>
          <w:sz w:val="24"/>
        </w:rPr>
      </w:pPr>
      <w:r>
        <w:rPr>
          <w:rFonts w:cs="宋体"/>
          <w:b/>
          <w:bCs w:val="0"/>
          <w:sz w:val="24"/>
        </w:rPr>
        <w:t>3.根据有关法律、法规规定为无效、废标的，按法律、法规规定执行。</w:t>
      </w:r>
    </w:p>
    <w:p>
      <w:pPr>
        <w:pStyle w:val="42"/>
        <w:snapToGrid w:val="0"/>
        <w:spacing w:line="360" w:lineRule="auto"/>
        <w:ind w:firstLine="480"/>
        <w:rPr>
          <w:rFonts w:cs="宋体"/>
          <w:bCs/>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6"/>
        <w:keepNext w:val="0"/>
        <w:keepLines w:val="0"/>
        <w:pageBreakBefore/>
        <w:spacing w:line="415" w:lineRule="auto"/>
        <w:jc w:val="center"/>
        <w:rPr>
          <w:rFonts w:ascii="宋体" w:hAnsi="宋体" w:cs="宋体"/>
        </w:rPr>
      </w:pPr>
      <w:bookmarkStart w:id="18" w:name="_Toc29324"/>
      <w:bookmarkStart w:id="19" w:name="_Toc31127"/>
      <w:r>
        <w:rPr>
          <w:rFonts w:hint="eastAsia" w:ascii="宋体" w:hAnsi="宋体" w:cs="宋体"/>
        </w:rPr>
        <w:t>第四章 谈判方法和程序</w:t>
      </w:r>
      <w:bookmarkEnd w:id="18"/>
      <w:bookmarkEnd w:id="19"/>
    </w:p>
    <w:p>
      <w:pPr>
        <w:spacing w:line="360" w:lineRule="auto"/>
        <w:rPr>
          <w:rFonts w:ascii="宋体" w:hAnsi="宋体" w:cs="宋体"/>
          <w:b/>
          <w:sz w:val="24"/>
        </w:rPr>
      </w:pPr>
      <w:r>
        <w:rPr>
          <w:rFonts w:hint="eastAsia" w:ascii="宋体" w:hAnsi="宋体" w:cs="宋体"/>
          <w:b/>
          <w:sz w:val="24"/>
        </w:rPr>
        <w:t>一</w:t>
      </w:r>
      <w:r>
        <w:rPr>
          <w:rFonts w:hint="eastAsia" w:ascii="宋体" w:hAnsi="宋体" w:cs="宋体"/>
          <w:sz w:val="24"/>
        </w:rPr>
        <w:t>、</w:t>
      </w:r>
      <w:r>
        <w:rPr>
          <w:rFonts w:hint="eastAsia" w:ascii="宋体" w:hAnsi="宋体" w:cs="宋体"/>
          <w:b/>
          <w:sz w:val="24"/>
        </w:rPr>
        <w:t>开标准备</w:t>
      </w:r>
    </w:p>
    <w:p>
      <w:pPr>
        <w:spacing w:line="360" w:lineRule="auto"/>
        <w:ind w:firstLine="480" w:firstLineChars="200"/>
        <w:rPr>
          <w:rFonts w:ascii="宋体" w:hAnsi="宋体" w:cs="宋体"/>
          <w:bCs/>
          <w:strike/>
          <w:sz w:val="24"/>
        </w:rPr>
      </w:pPr>
      <w:r>
        <w:rPr>
          <w:rFonts w:hint="eastAsia" w:ascii="宋体" w:hAnsi="宋体" w:cs="宋体"/>
          <w:bCs/>
          <w:sz w:val="24"/>
        </w:rPr>
        <w:t>将在规定的时间和地点进行</w:t>
      </w:r>
      <w:r>
        <w:rPr>
          <w:rFonts w:hint="eastAsia" w:ascii="宋体" w:hAnsi="宋体" w:cs="宋体"/>
          <w:bCs/>
          <w:sz w:val="24"/>
          <w:lang w:eastAsia="zh-CN"/>
        </w:rPr>
        <w:t>现场</w:t>
      </w:r>
      <w:r>
        <w:rPr>
          <w:rFonts w:hint="eastAsia" w:ascii="宋体" w:hAnsi="宋体" w:cs="宋体"/>
          <w:bCs/>
          <w:sz w:val="24"/>
        </w:rPr>
        <w:t>开标，谈判响应方的法定代表人或其委托代理人【委托代理人应当是谈判响应方的在职正式职工】应做好谈判响应准备，准时参加开标会议。</w:t>
      </w:r>
    </w:p>
    <w:p>
      <w:pPr>
        <w:spacing w:line="360" w:lineRule="auto"/>
        <w:rPr>
          <w:rFonts w:ascii="宋体" w:hAnsi="宋体" w:cs="宋体"/>
          <w:b/>
          <w:sz w:val="24"/>
        </w:rPr>
      </w:pPr>
      <w:r>
        <w:rPr>
          <w:rFonts w:hint="eastAsia" w:ascii="宋体" w:hAnsi="宋体" w:cs="宋体"/>
          <w:b/>
          <w:sz w:val="24"/>
        </w:rPr>
        <w:t>二、谈判小组</w:t>
      </w:r>
    </w:p>
    <w:p>
      <w:pPr>
        <w:spacing w:line="360" w:lineRule="auto"/>
        <w:ind w:firstLine="480" w:firstLineChars="200"/>
        <w:rPr>
          <w:rFonts w:ascii="宋体" w:hAnsi="宋体" w:cs="宋体"/>
          <w:sz w:val="24"/>
        </w:rPr>
      </w:pPr>
      <w:r>
        <w:rPr>
          <w:rFonts w:hint="eastAsia" w:ascii="宋体" w:hAnsi="宋体" w:cs="宋体"/>
          <w:sz w:val="24"/>
        </w:rPr>
        <w:t>我校将根据谈判项目的特点依法组建谈判小组，人员由学校评审专家</w:t>
      </w:r>
      <w:r>
        <w:rPr>
          <w:rFonts w:ascii="宋体" w:hAnsi="宋体" w:cs="宋体"/>
          <w:sz w:val="24"/>
          <w:u w:val="single"/>
        </w:rPr>
        <w:t>2</w:t>
      </w:r>
      <w:r>
        <w:rPr>
          <w:rFonts w:hint="eastAsia" w:ascii="宋体" w:hAnsi="宋体" w:cs="宋体"/>
          <w:sz w:val="24"/>
        </w:rPr>
        <w:t>人和采购部门代表</w:t>
      </w:r>
      <w:r>
        <w:rPr>
          <w:rFonts w:hint="eastAsia" w:ascii="宋体" w:hAnsi="宋体" w:cs="宋体"/>
          <w:sz w:val="24"/>
          <w:u w:val="single"/>
        </w:rPr>
        <w:t>1</w:t>
      </w:r>
      <w:r>
        <w:rPr>
          <w:rFonts w:hint="eastAsia" w:ascii="宋体" w:hAnsi="宋体" w:cs="宋体"/>
          <w:sz w:val="24"/>
        </w:rPr>
        <w:t>人,共</w:t>
      </w:r>
      <w:r>
        <w:rPr>
          <w:rFonts w:ascii="宋体" w:hAnsi="宋体" w:cs="宋体"/>
          <w:sz w:val="24"/>
          <w:u w:val="single"/>
        </w:rPr>
        <w:t>3</w:t>
      </w:r>
      <w:r>
        <w:rPr>
          <w:rFonts w:hint="eastAsia" w:ascii="宋体" w:hAnsi="宋体" w:cs="宋体"/>
          <w:sz w:val="24"/>
        </w:rPr>
        <w:t>人组成（允许采购人不推荐采购人代表参加，如采购人不推荐采购人代表参加评审时，谈判小组（</w:t>
      </w:r>
      <w:r>
        <w:rPr>
          <w:rFonts w:ascii="宋体" w:hAnsi="宋体" w:cs="宋体"/>
          <w:sz w:val="24"/>
        </w:rPr>
        <w:t>3</w:t>
      </w:r>
      <w:r>
        <w:rPr>
          <w:rFonts w:hint="eastAsia" w:ascii="宋体" w:hAnsi="宋体" w:cs="宋体"/>
          <w:sz w:val="24"/>
        </w:rPr>
        <w:t>人）都从评标专家库中抽取），其成员从采购人和</w:t>
      </w:r>
      <w:r>
        <w:rPr>
          <w:rFonts w:hint="eastAsia" w:ascii="宋体" w:hAnsi="宋体" w:cs="宋体"/>
          <w:sz w:val="24"/>
          <w:lang w:eastAsia="zh-CN"/>
        </w:rPr>
        <w:t>学校</w:t>
      </w:r>
      <w:r>
        <w:rPr>
          <w:rFonts w:hint="eastAsia" w:ascii="宋体" w:hAnsi="宋体" w:cs="宋体"/>
          <w:sz w:val="24"/>
        </w:rPr>
        <w:t>政采购评审的具有技术、商务等方面专长的专家库中通过随机方式抽取组成谈判小组,将对谈判响应文件进行审查、质疑、评估和比较。</w:t>
      </w:r>
    </w:p>
    <w:p>
      <w:pPr>
        <w:spacing w:line="360" w:lineRule="auto"/>
        <w:rPr>
          <w:rFonts w:ascii="宋体" w:hAnsi="宋体" w:cs="宋体"/>
          <w:b/>
          <w:sz w:val="24"/>
        </w:rPr>
      </w:pPr>
      <w:r>
        <w:rPr>
          <w:rFonts w:hint="eastAsia" w:ascii="宋体" w:hAnsi="宋体" w:cs="宋体"/>
          <w:b/>
          <w:sz w:val="24"/>
        </w:rPr>
        <w:t>三、单一来源谈判评审原则与方法</w:t>
      </w:r>
    </w:p>
    <w:p>
      <w:pPr>
        <w:spacing w:line="360" w:lineRule="auto"/>
        <w:ind w:firstLine="600" w:firstLineChars="250"/>
        <w:rPr>
          <w:rFonts w:ascii="宋体" w:hAnsi="宋体" w:cs="宋体"/>
          <w:sz w:val="24"/>
        </w:rPr>
      </w:pPr>
      <w:r>
        <w:rPr>
          <w:rFonts w:hint="eastAsia" w:ascii="宋体" w:hAnsi="宋体" w:cs="宋体"/>
          <w:sz w:val="24"/>
        </w:rPr>
        <w:t>谈判小组将遵循公开、公平、公正的原则，对谈判响应方提供服务的价格、公司基本情况、履约能力等进行综合分析考评，由谈判小组根据综合情况研究确定采购结果。</w:t>
      </w:r>
    </w:p>
    <w:p>
      <w:pPr>
        <w:numPr>
          <w:ilvl w:val="0"/>
          <w:numId w:val="6"/>
        </w:numPr>
        <w:spacing w:line="360" w:lineRule="auto"/>
        <w:rPr>
          <w:rFonts w:ascii="宋体" w:hAnsi="宋体" w:cs="宋体"/>
          <w:b/>
          <w:sz w:val="24"/>
        </w:rPr>
      </w:pPr>
      <w:r>
        <w:rPr>
          <w:rFonts w:hint="eastAsia" w:ascii="宋体" w:hAnsi="宋体" w:cs="宋体"/>
          <w:b/>
          <w:sz w:val="24"/>
        </w:rPr>
        <w:t>谈判程序</w:t>
      </w:r>
    </w:p>
    <w:p>
      <w:pPr>
        <w:spacing w:line="360" w:lineRule="auto"/>
        <w:ind w:firstLine="480" w:firstLineChars="200"/>
        <w:rPr>
          <w:rFonts w:ascii="宋体" w:hAnsi="宋体" w:cs="宋体"/>
          <w:bCs/>
          <w:sz w:val="24"/>
        </w:rPr>
      </w:pPr>
      <w:r>
        <w:rPr>
          <w:rFonts w:hint="eastAsia" w:ascii="宋体" w:hAnsi="宋体" w:cs="宋体"/>
          <w:bCs/>
          <w:sz w:val="24"/>
        </w:rPr>
        <w:t>1.开标会由</w:t>
      </w:r>
      <w:r>
        <w:rPr>
          <w:rFonts w:hint="eastAsia" w:ascii="宋体" w:hAnsi="宋体" w:cs="宋体"/>
          <w:bCs/>
          <w:sz w:val="24"/>
          <w:lang w:eastAsia="zh-CN"/>
        </w:rPr>
        <w:t>采购人</w:t>
      </w:r>
      <w:r>
        <w:rPr>
          <w:rFonts w:hint="eastAsia" w:ascii="宋体" w:hAnsi="宋体" w:cs="宋体"/>
          <w:bCs/>
          <w:sz w:val="24"/>
        </w:rPr>
        <w:t>主持，主持人宣布谈判开始；</w:t>
      </w:r>
    </w:p>
    <w:p>
      <w:pPr>
        <w:spacing w:line="360" w:lineRule="auto"/>
        <w:ind w:firstLine="480" w:firstLineChars="200"/>
        <w:rPr>
          <w:rFonts w:ascii="宋体" w:hAnsi="宋体" w:cs="宋体"/>
          <w:bCs/>
          <w:sz w:val="24"/>
        </w:rPr>
      </w:pPr>
      <w:r>
        <w:rPr>
          <w:rFonts w:hint="eastAsia" w:ascii="宋体" w:hAnsi="宋体" w:cs="宋体"/>
          <w:bCs/>
          <w:sz w:val="24"/>
        </w:rPr>
        <w:t xml:space="preserve">2.主持人介绍参加开评标的人员名单； </w:t>
      </w:r>
    </w:p>
    <w:p>
      <w:pPr>
        <w:spacing w:line="360" w:lineRule="auto"/>
        <w:ind w:firstLine="480" w:firstLineChars="200"/>
        <w:rPr>
          <w:rFonts w:ascii="宋体" w:hAnsi="宋体" w:cs="宋体"/>
          <w:bCs/>
          <w:sz w:val="24"/>
        </w:rPr>
      </w:pPr>
      <w:r>
        <w:rPr>
          <w:rFonts w:hint="eastAsia" w:ascii="宋体" w:hAnsi="宋体" w:cs="宋体"/>
          <w:bCs/>
          <w:sz w:val="24"/>
        </w:rPr>
        <w:t>3.主持人宣布评标会议纪律及评标期间的有关事项；告知应当回避的情形,提请有关人员回避；</w:t>
      </w:r>
    </w:p>
    <w:p>
      <w:pPr>
        <w:spacing w:line="360" w:lineRule="auto"/>
        <w:ind w:firstLine="480" w:firstLineChars="200"/>
        <w:rPr>
          <w:rFonts w:ascii="宋体" w:hAnsi="宋体" w:cs="宋体"/>
          <w:sz w:val="24"/>
        </w:rPr>
      </w:pPr>
      <w:r>
        <w:rPr>
          <w:rFonts w:hint="eastAsia" w:ascii="宋体" w:hAnsi="宋体" w:cs="宋体"/>
          <w:sz w:val="24"/>
        </w:rPr>
        <w:t>4.谈判及评审程序</w:t>
      </w:r>
    </w:p>
    <w:p>
      <w:pPr>
        <w:spacing w:line="360" w:lineRule="auto"/>
        <w:ind w:firstLine="480" w:firstLineChars="200"/>
        <w:rPr>
          <w:rFonts w:ascii="宋体" w:hAnsi="宋体" w:cs="宋体"/>
          <w:sz w:val="24"/>
        </w:rPr>
      </w:pPr>
      <w:r>
        <w:rPr>
          <w:rFonts w:hint="eastAsia" w:ascii="宋体" w:hAnsi="宋体" w:cs="宋体"/>
          <w:sz w:val="24"/>
        </w:rPr>
        <w:t>4.1在谈判时间截止后30分钟内</w:t>
      </w:r>
      <w:r>
        <w:rPr>
          <w:rFonts w:hint="eastAsia" w:ascii="宋体" w:hAnsi="宋体" w:cs="宋体"/>
          <w:sz w:val="24"/>
          <w:lang w:eastAsia="zh-CN"/>
        </w:rPr>
        <w:t>准时开标</w:t>
      </w:r>
      <w:r>
        <w:rPr>
          <w:rFonts w:hint="eastAsia" w:ascii="宋体" w:hAnsi="宋体" w:cs="宋体"/>
          <w:sz w:val="24"/>
        </w:rPr>
        <w:t>；</w:t>
      </w:r>
    </w:p>
    <w:p>
      <w:pPr>
        <w:spacing w:line="360" w:lineRule="auto"/>
        <w:ind w:left="479" w:leftChars="228"/>
        <w:rPr>
          <w:rFonts w:ascii="宋体" w:hAnsi="宋体" w:cs="宋体"/>
          <w:sz w:val="24"/>
        </w:rPr>
      </w:pPr>
      <w:r>
        <w:rPr>
          <w:rFonts w:hint="eastAsia" w:ascii="宋体" w:hAnsi="宋体" w:cs="宋体"/>
          <w:sz w:val="24"/>
        </w:rPr>
        <w:t>4.2由采购人进行资格审查；</w:t>
      </w:r>
    </w:p>
    <w:p>
      <w:pPr>
        <w:spacing w:line="360" w:lineRule="auto"/>
        <w:ind w:firstLine="480" w:firstLineChars="200"/>
        <w:rPr>
          <w:rFonts w:ascii="宋体" w:hAnsi="宋体" w:cs="宋体"/>
        </w:rPr>
      </w:pPr>
      <w:r>
        <w:rPr>
          <w:rFonts w:hint="eastAsia" w:ascii="宋体" w:hAnsi="宋体" w:cs="宋体"/>
          <w:sz w:val="24"/>
        </w:rPr>
        <w:t>4.3 谈判小组审核商务技术响应文件。谈判小组依据单一来源谈判文件的规定，从谈判响应文件的有效性、完整性和对单一来源谈判文件的响应程度进行审查，以确定是否对谈判文件的实质性要求作出响应；</w:t>
      </w:r>
    </w:p>
    <w:p>
      <w:pPr>
        <w:pStyle w:val="5"/>
        <w:ind w:firstLine="480"/>
        <w:rPr>
          <w:rFonts w:ascii="宋体" w:hAnsi="宋体" w:cs="宋体"/>
          <w:sz w:val="24"/>
        </w:rPr>
      </w:pPr>
      <w:r>
        <w:rPr>
          <w:rFonts w:hint="eastAsia" w:ascii="宋体" w:hAnsi="宋体" w:cs="宋体"/>
          <w:sz w:val="24"/>
        </w:rPr>
        <w:t>4.4 谈判小组讨论审核情况，确定谈判响应方是否具有谈判资格并根据产品的成本组成确定本次单一来源谈判的价格底限。</w:t>
      </w:r>
    </w:p>
    <w:p>
      <w:pPr>
        <w:pStyle w:val="5"/>
        <w:ind w:firstLine="480"/>
        <w:rPr>
          <w:rFonts w:ascii="宋体" w:hAnsi="宋体" w:cs="宋体"/>
          <w:sz w:val="24"/>
        </w:rPr>
      </w:pPr>
      <w:r>
        <w:rPr>
          <w:rFonts w:hint="eastAsia" w:ascii="宋体" w:hAnsi="宋体" w:cs="宋体"/>
          <w:sz w:val="24"/>
        </w:rPr>
        <w:t>4.5 开启报价文件；</w:t>
      </w:r>
    </w:p>
    <w:p>
      <w:pPr>
        <w:pStyle w:val="5"/>
        <w:ind w:firstLine="480"/>
        <w:rPr>
          <w:rFonts w:ascii="宋体" w:hAnsi="宋体" w:cs="宋体"/>
          <w:sz w:val="24"/>
        </w:rPr>
      </w:pPr>
      <w:r>
        <w:rPr>
          <w:rFonts w:hint="eastAsia" w:ascii="宋体" w:hAnsi="宋体" w:cs="宋体"/>
          <w:sz w:val="24"/>
        </w:rPr>
        <w:t>4.6与谈判响应方进行最终价格谈判，谈判响应方须进行最后报价；</w:t>
      </w:r>
    </w:p>
    <w:p>
      <w:pPr>
        <w:spacing w:line="360" w:lineRule="auto"/>
        <w:ind w:firstLine="480" w:firstLineChars="200"/>
        <w:rPr>
          <w:rFonts w:ascii="宋体" w:hAnsi="宋体" w:cs="宋体"/>
          <w:sz w:val="24"/>
        </w:rPr>
      </w:pPr>
      <w:r>
        <w:rPr>
          <w:rFonts w:hint="eastAsia" w:ascii="宋体" w:hAnsi="宋体" w:cs="宋体"/>
          <w:sz w:val="24"/>
        </w:rPr>
        <w:t>4.7谈判小组对谈判的情况进行综合评议，确定谈判结果。</w:t>
      </w:r>
    </w:p>
    <w:p>
      <w:pPr>
        <w:spacing w:line="360" w:lineRule="auto"/>
        <w:ind w:firstLine="480" w:firstLineChars="200"/>
        <w:rPr>
          <w:rFonts w:ascii="宋体" w:hAnsi="宋体" w:cs="宋体"/>
          <w:sz w:val="24"/>
        </w:rPr>
      </w:pPr>
      <w:r>
        <w:rPr>
          <w:rFonts w:hint="eastAsia" w:ascii="宋体" w:hAnsi="宋体" w:cs="宋体"/>
          <w:sz w:val="24"/>
        </w:rPr>
        <w:t>4.8谈判小组拟制评审报告。</w:t>
      </w:r>
    </w:p>
    <w:p>
      <w:pPr>
        <w:spacing w:line="360" w:lineRule="auto"/>
        <w:rPr>
          <w:rFonts w:ascii="宋体" w:hAnsi="宋体" w:cs="宋体"/>
          <w:b/>
          <w:sz w:val="24"/>
        </w:rPr>
      </w:pPr>
      <w:r>
        <w:rPr>
          <w:rFonts w:hint="eastAsia" w:ascii="宋体" w:hAnsi="宋体" w:cs="宋体"/>
          <w:b/>
          <w:sz w:val="24"/>
        </w:rPr>
        <w:t>五、中标通知</w:t>
      </w:r>
    </w:p>
    <w:p>
      <w:pPr>
        <w:spacing w:line="360" w:lineRule="auto"/>
        <w:ind w:firstLine="360" w:firstLineChars="150"/>
        <w:rPr>
          <w:rFonts w:ascii="宋体" w:hAnsi="宋体" w:cs="宋体"/>
          <w:sz w:val="24"/>
        </w:rPr>
      </w:pPr>
      <w:r>
        <w:rPr>
          <w:rFonts w:hint="eastAsia" w:ascii="宋体" w:hAnsi="宋体" w:cs="宋体"/>
          <w:sz w:val="24"/>
        </w:rPr>
        <w:t>（一）中标公告期限为1个工作日。谈判方以书面形式发出《中标通知书》，并同时在相关网站上公布成交结果。</w:t>
      </w:r>
    </w:p>
    <w:p>
      <w:pPr>
        <w:spacing w:line="360" w:lineRule="auto"/>
        <w:ind w:firstLine="360" w:firstLineChars="150"/>
        <w:rPr>
          <w:rFonts w:ascii="宋体" w:hAnsi="宋体" w:cs="宋体"/>
          <w:sz w:val="24"/>
        </w:rPr>
      </w:pPr>
      <w:r>
        <w:rPr>
          <w:rFonts w:hint="eastAsia" w:ascii="宋体" w:hAnsi="宋体" w:cs="宋体"/>
          <w:sz w:val="24"/>
        </w:rPr>
        <w:t>（二）确定中标人后，中标人应在三个工作日内，向谈判方领取《中标通知书》，否则按放弃中标资格处理，并因违反诚信原则，提交财政部门列入政府采购黑名单。</w:t>
      </w:r>
    </w:p>
    <w:p>
      <w:pPr>
        <w:spacing w:line="360" w:lineRule="auto"/>
        <w:ind w:firstLine="360" w:firstLineChars="150"/>
        <w:rPr>
          <w:rFonts w:ascii="宋体" w:hAnsi="宋体" w:cs="宋体"/>
          <w:sz w:val="24"/>
        </w:rPr>
      </w:pPr>
      <w:r>
        <w:rPr>
          <w:rFonts w:hint="eastAsia" w:ascii="宋体" w:hAnsi="宋体" w:cs="宋体"/>
          <w:sz w:val="24"/>
        </w:rPr>
        <w:t>（三）中标通知书发出后，若中标人放弃成交，应当承担相应的法律责任，中标通知书对采购人和中标谈判响应方具有同等法律效力。</w:t>
      </w:r>
    </w:p>
    <w:p>
      <w:pPr>
        <w:spacing w:line="360" w:lineRule="auto"/>
        <w:rPr>
          <w:rFonts w:ascii="宋体" w:hAnsi="宋体" w:cs="宋体"/>
          <w:b/>
          <w:sz w:val="24"/>
        </w:rPr>
      </w:pPr>
      <w:r>
        <w:rPr>
          <w:rFonts w:hint="eastAsia" w:ascii="宋体" w:hAnsi="宋体" w:cs="宋体"/>
          <w:b/>
          <w:sz w:val="24"/>
        </w:rPr>
        <w:t>六、合同签订</w:t>
      </w:r>
    </w:p>
    <w:p>
      <w:pPr>
        <w:spacing w:line="360" w:lineRule="auto"/>
        <w:ind w:firstLine="480" w:firstLineChars="200"/>
        <w:rPr>
          <w:rFonts w:ascii="宋体" w:hAnsi="宋体" w:cs="宋体"/>
          <w:sz w:val="24"/>
        </w:rPr>
      </w:pPr>
      <w:r>
        <w:rPr>
          <w:rFonts w:hint="eastAsia" w:ascii="宋体" w:hAnsi="宋体" w:cs="宋体"/>
          <w:sz w:val="24"/>
        </w:rPr>
        <w:t>采购人与中标人应当在《中标通知书》发出之日起30日内签订采购合同，如中标人拖延、拒签合同，在30日内未完成合同签订的，按自动放弃中标处理，并承担相应的法律责任，中标通知书对采购人和中标单位具有同等法律效力。</w:t>
      </w:r>
    </w:p>
    <w:p>
      <w:pPr>
        <w:spacing w:line="360" w:lineRule="auto"/>
        <w:ind w:firstLine="480"/>
        <w:rPr>
          <w:rFonts w:cs="宋体"/>
          <w:bCs/>
          <w:color w:val="000000" w:themeColor="text1"/>
          <w:sz w:val="24"/>
          <w14:textFill>
            <w14:solidFill>
              <w14:schemeClr w14:val="tx1"/>
            </w14:solidFill>
          </w14:textFill>
        </w:rPr>
      </w:pPr>
      <w:r>
        <w:rPr>
          <w:color w:val="000000" w:themeColor="text1"/>
          <w14:textFill>
            <w14:solidFill>
              <w14:schemeClr w14:val="tx1"/>
            </w14:solidFill>
          </w14:textFill>
        </w:rPr>
        <w:br w:type="page"/>
      </w:r>
    </w:p>
    <w:p>
      <w:pPr>
        <w:snapToGrid w:val="0"/>
        <w:spacing w:line="360" w:lineRule="auto"/>
        <w:jc w:val="center"/>
        <w:outlineLvl w:val="0"/>
        <w:rPr>
          <w:rFonts w:ascii="宋体" w:hAnsi="宋体" w:cs="宋体"/>
          <w:b/>
          <w:bCs/>
          <w:color w:val="000000" w:themeColor="text1"/>
          <w:sz w:val="30"/>
          <w:szCs w:val="32"/>
          <w14:textFill>
            <w14:solidFill>
              <w14:schemeClr w14:val="tx1"/>
            </w14:solidFill>
          </w14:textFill>
        </w:rPr>
      </w:pPr>
      <w:bookmarkStart w:id="20" w:name="_Toc18731"/>
      <w:r>
        <w:rPr>
          <w:rFonts w:ascii="宋体" w:hAnsi="宋体" w:cs="宋体"/>
          <w:b/>
          <w:bCs/>
          <w:color w:val="000000" w:themeColor="text1"/>
          <w:sz w:val="30"/>
          <w:szCs w:val="32"/>
          <w14:textFill>
            <w14:solidFill>
              <w14:schemeClr w14:val="tx1"/>
            </w14:solidFill>
          </w14:textFill>
        </w:rPr>
        <w:t>第五章  采购合同主要条款</w:t>
      </w:r>
      <w:bookmarkEnd w:id="20"/>
    </w:p>
    <w:p>
      <w:pPr>
        <w:pStyle w:val="7"/>
        <w:keepNext w:val="0"/>
        <w:keepLines w:val="0"/>
        <w:spacing w:before="0" w:after="0" w:line="440" w:lineRule="exact"/>
        <w:jc w:val="center"/>
        <w:rPr>
          <w:rFonts w:ascii="宋体" w:hAnsi="宋体" w:cs="宋体"/>
          <w:bCs w:val="0"/>
          <w:color w:val="000000" w:themeColor="text1"/>
          <w:sz w:val="30"/>
          <w:szCs w:val="20"/>
          <w14:textFill>
            <w14:solidFill>
              <w14:schemeClr w14:val="tx1"/>
            </w14:solidFill>
          </w14:textFill>
        </w:rPr>
      </w:pPr>
      <w:bookmarkStart w:id="21" w:name="_Toc12350"/>
      <w:r>
        <w:rPr>
          <w:rFonts w:ascii="宋体" w:hAnsi="宋体" w:cs="宋体"/>
          <w:color w:val="000000" w:themeColor="text1"/>
          <w:sz w:val="30"/>
          <w14:textFill>
            <w14:solidFill>
              <w14:schemeClr w14:val="tx1"/>
            </w14:solidFill>
          </w14:textFill>
        </w:rPr>
        <w:t>采购合同（样本）</w:t>
      </w:r>
      <w:bookmarkEnd w:id="21"/>
    </w:p>
    <w:p>
      <w:pPr>
        <w:snapToGrid w:val="0"/>
        <w:spacing w:before="156" w:after="156" w:line="24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项目名称：                   项目编号：               合同号：</w:t>
      </w:r>
    </w:p>
    <w:p>
      <w:pPr>
        <w:snapToGrid w:val="0"/>
        <w:spacing w:before="156" w:after="156" w:line="24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甲方（买方）：</w:t>
      </w:r>
    </w:p>
    <w:p>
      <w:pPr>
        <w:snapToGrid w:val="0"/>
        <w:spacing w:before="156" w:after="156" w:line="24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乙方（卖方）：</w:t>
      </w:r>
    </w:p>
    <w:p>
      <w:pPr>
        <w:snapToGrid w:val="0"/>
        <w:spacing w:before="156" w:after="156" w:line="240" w:lineRule="auto"/>
        <w:ind w:firstLine="480" w:firstLineChars="200"/>
        <w:rPr>
          <w:rFonts w:ascii="宋体" w:hAnsi="宋体" w:cs="宋体"/>
          <w:b/>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甲、乙双方根据    年  月  日</w:t>
      </w:r>
      <w:r>
        <w:rPr>
          <w:rFonts w:hint="eastAsia" w:ascii="宋体" w:hAnsi="宋体" w:cs="宋体"/>
          <w:color w:val="000000" w:themeColor="text1"/>
          <w:sz w:val="24"/>
          <w14:textFill>
            <w14:solidFill>
              <w14:schemeClr w14:val="tx1"/>
            </w14:solidFill>
          </w14:textFill>
        </w:rPr>
        <w:t>浙江广厦建设职业技术大学</w:t>
      </w:r>
      <w:r>
        <w:rPr>
          <w:rFonts w:ascii="宋体" w:hAnsi="宋体" w:cs="宋体"/>
          <w:color w:val="000000" w:themeColor="text1"/>
          <w:sz w:val="24"/>
          <w14:textFill>
            <w14:solidFill>
              <w14:schemeClr w14:val="tx1"/>
            </w14:solidFill>
          </w14:textFill>
        </w:rPr>
        <w:t>关于项目公开招标的结果，签署本合同。</w:t>
      </w:r>
    </w:p>
    <w:p>
      <w:pPr>
        <w:snapToGrid w:val="0"/>
        <w:spacing w:before="156" w:after="156" w:line="24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一、货物内容</w:t>
      </w:r>
    </w:p>
    <w:p>
      <w:pPr>
        <w:snapToGrid w:val="0"/>
        <w:spacing w:before="156" w:after="156" w:line="24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 货物名称：</w:t>
      </w:r>
    </w:p>
    <w:p>
      <w:pPr>
        <w:snapToGrid w:val="0"/>
        <w:spacing w:before="156" w:after="156" w:line="24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 型号规格：</w:t>
      </w:r>
    </w:p>
    <w:p>
      <w:pPr>
        <w:snapToGrid w:val="0"/>
        <w:spacing w:before="156" w:after="156" w:line="24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 技术参数：</w:t>
      </w:r>
    </w:p>
    <w:p>
      <w:pPr>
        <w:snapToGrid w:val="0"/>
        <w:spacing w:before="156" w:after="156" w:line="24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 数量（单位）：</w:t>
      </w:r>
    </w:p>
    <w:p>
      <w:pPr>
        <w:snapToGrid w:val="0"/>
        <w:spacing w:before="156" w:after="156" w:line="24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二、合同金额</w:t>
      </w:r>
    </w:p>
    <w:p>
      <w:pPr>
        <w:snapToGrid w:val="0"/>
        <w:spacing w:before="156" w:after="156" w:line="24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本合同金额为（大写）：____________元（￥_______________元）人民币。</w:t>
      </w:r>
    </w:p>
    <w:p>
      <w:pPr>
        <w:snapToGrid w:val="0"/>
        <w:spacing w:before="156" w:after="156" w:line="24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三、技术资料</w:t>
      </w:r>
    </w:p>
    <w:p>
      <w:pPr>
        <w:snapToGrid w:val="0"/>
        <w:spacing w:before="156" w:after="156" w:line="24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1.乙方应按招标文件规定的时间向甲方提供使用货物的有关技术资料。</w:t>
      </w:r>
    </w:p>
    <w:p>
      <w:pPr>
        <w:snapToGrid w:val="0"/>
        <w:spacing w:before="156" w:after="156" w:line="24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 没有甲方事先书面同意，乙方不得将由甲方提供的有关合同或任何合同条文、规</w:t>
      </w:r>
    </w:p>
    <w:p>
      <w:pPr>
        <w:snapToGrid w:val="0"/>
        <w:spacing w:before="156" w:after="156" w:line="24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格、计划、图纸、样品或资料提供给与履行本合同无关的任何其他人。即使向履行本</w:t>
      </w:r>
    </w:p>
    <w:p>
      <w:pPr>
        <w:snapToGrid w:val="0"/>
        <w:spacing w:before="156" w:after="156" w:line="24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合同有关的人员提供，也应注意保密并限于履行合同的必需范围。</w:t>
      </w:r>
    </w:p>
    <w:p>
      <w:pPr>
        <w:snapToGrid w:val="0"/>
        <w:spacing w:before="156" w:after="156" w:line="240" w:lineRule="auto"/>
        <w:ind w:left="412" w:hanging="412"/>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四、知识产权</w:t>
      </w:r>
    </w:p>
    <w:p>
      <w:pPr>
        <w:snapToGrid w:val="0"/>
        <w:spacing w:before="156" w:after="156" w:line="240" w:lineRule="auto"/>
        <w:rPr>
          <w:rFonts w:ascii="宋体" w:hAnsi="宋体" w:cs="宋体"/>
          <w:bCs/>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乙方应保证所提供的货物或其任何一部分均不会侵犯任何第三方的知识产权</w:t>
      </w:r>
      <w:r>
        <w:rPr>
          <w:rFonts w:ascii="宋体" w:hAnsi="宋体" w:cs="宋体"/>
          <w:bCs/>
          <w:color w:val="000000" w:themeColor="text1"/>
          <w:sz w:val="24"/>
          <w14:textFill>
            <w14:solidFill>
              <w14:schemeClr w14:val="tx1"/>
            </w14:solidFill>
          </w14:textFill>
        </w:rPr>
        <w:t>。</w:t>
      </w:r>
    </w:p>
    <w:p>
      <w:pPr>
        <w:pStyle w:val="45"/>
        <w:numPr>
          <w:ilvl w:val="0"/>
          <w:numId w:val="7"/>
        </w:numPr>
        <w:snapToGrid w:val="0"/>
        <w:spacing w:before="156" w:after="156" w:line="240" w:lineRule="auto"/>
        <w:ind w:firstLineChars="0"/>
        <w:rPr>
          <w:rFonts w:ascii="宋体" w:hAnsi="宋体" w:cs="宋体"/>
          <w:color w:val="000000" w:themeColor="text1"/>
          <w:sz w:val="24"/>
          <w:u w:val="single"/>
          <w14:textFill>
            <w14:solidFill>
              <w14:schemeClr w14:val="tx1"/>
            </w14:solidFill>
          </w14:textFill>
        </w:rPr>
      </w:pPr>
      <w:r>
        <w:rPr>
          <w:rFonts w:ascii="宋体" w:hAnsi="宋体" w:cs="宋体"/>
          <w:b/>
          <w:color w:val="000000" w:themeColor="text1"/>
          <w:sz w:val="24"/>
          <w14:textFill>
            <w14:solidFill>
              <w14:schemeClr w14:val="tx1"/>
            </w14:solidFill>
          </w14:textFill>
        </w:rPr>
        <w:t>产权担保</w:t>
      </w:r>
    </w:p>
    <w:p>
      <w:pPr>
        <w:snapToGrid w:val="0"/>
        <w:spacing w:before="156" w:after="156" w:line="240" w:lineRule="auto"/>
        <w:ind w:left="408" w:hanging="408"/>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乙方保证所交付的货物的所有权完全属于乙方且无任何抵押、查封等产权瑕疵。</w:t>
      </w:r>
    </w:p>
    <w:p>
      <w:pPr>
        <w:pStyle w:val="45"/>
        <w:numPr>
          <w:ilvl w:val="0"/>
          <w:numId w:val="7"/>
        </w:numPr>
        <w:snapToGrid w:val="0"/>
        <w:spacing w:before="156" w:after="156" w:line="240" w:lineRule="auto"/>
        <w:ind w:firstLineChars="0"/>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履约保证金</w:t>
      </w:r>
    </w:p>
    <w:p>
      <w:pPr>
        <w:snapToGrid w:val="0"/>
        <w:spacing w:before="156" w:after="156" w:line="24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履约保证金为合同价款的</w:t>
      </w:r>
      <w:r>
        <w:rPr>
          <w:rFonts w:hint="eastAsia" w:ascii="宋体" w:hAnsi="宋体" w:cs="宋体"/>
          <w:color w:val="000000" w:themeColor="text1"/>
          <w:sz w:val="24"/>
          <w14:textFill>
            <w14:solidFill>
              <w14:schemeClr w14:val="tx1"/>
            </w14:solidFill>
          </w14:textFill>
        </w:rPr>
        <w:t>5</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在合同签订前汇入甲方指定账户，于</w:t>
      </w:r>
      <w:r>
        <w:rPr>
          <w:rFonts w:ascii="宋体" w:hAnsi="宋体" w:cs="宋体"/>
          <w:color w:val="000000" w:themeColor="text1"/>
          <w:sz w:val="24"/>
          <w14:textFill>
            <w14:solidFill>
              <w14:schemeClr w14:val="tx1"/>
            </w14:solidFill>
          </w14:textFill>
        </w:rPr>
        <w:t>项目完成且验收合格（由采购人出具验收合格报告，要求原件）之日起15个工作日内退还。</w:t>
      </w:r>
    </w:p>
    <w:p>
      <w:pPr>
        <w:snapToGrid w:val="0"/>
        <w:spacing w:before="156" w:after="156" w:line="240" w:lineRule="auto"/>
        <w:ind w:left="410" w:hanging="410"/>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七、转包或分包</w:t>
      </w:r>
    </w:p>
    <w:p>
      <w:pPr>
        <w:snapToGrid w:val="0"/>
        <w:spacing w:before="156" w:after="156" w:line="24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1.本合同范围的货物，应由乙方直接供应，不得转让他人供应；</w:t>
      </w:r>
    </w:p>
    <w:p>
      <w:pPr>
        <w:snapToGrid w:val="0"/>
        <w:spacing w:before="156" w:after="156" w:line="24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2.除非得到甲方的书面同意，乙方不得将本合同范围的货物全部或部分分包给他人供应；</w:t>
      </w:r>
    </w:p>
    <w:p>
      <w:pPr>
        <w:snapToGrid w:val="0"/>
        <w:spacing w:before="156" w:after="156" w:line="24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3.如有转让和未经甲方同意的分包行为，甲方有权解除合同，没收履约保证金并追究乙方的违约责任。</w:t>
      </w:r>
    </w:p>
    <w:p>
      <w:pPr>
        <w:snapToGrid w:val="0"/>
        <w:spacing w:before="156" w:after="156" w:line="240" w:lineRule="auto"/>
        <w:rPr>
          <w:rFonts w:ascii="宋体" w:hAnsi="宋体" w:cs="宋体"/>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八、质保期和质保金</w:t>
      </w:r>
    </w:p>
    <w:p>
      <w:pPr>
        <w:snapToGrid w:val="0"/>
        <w:spacing w:before="156" w:after="156" w:line="24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质保期</w:t>
      </w:r>
      <w:r>
        <w:rPr>
          <w:rFonts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年。（自交货验收合格之日起计）</w:t>
      </w:r>
    </w:p>
    <w:p>
      <w:pPr>
        <w:snapToGrid w:val="0"/>
        <w:spacing w:before="156" w:after="156" w:line="24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九、交货期、交货地点</w:t>
      </w:r>
    </w:p>
    <w:p>
      <w:pPr>
        <w:snapToGrid w:val="0"/>
        <w:spacing w:before="156" w:after="156" w:line="240" w:lineRule="auto"/>
        <w:rPr>
          <w:rFonts w:ascii="宋体" w:hAnsi="宋体" w:cs="宋体"/>
          <w:bCs/>
          <w:color w:val="000000" w:themeColor="text1"/>
          <w:sz w:val="24"/>
          <w:u w:val="single"/>
          <w14:textFill>
            <w14:solidFill>
              <w14:schemeClr w14:val="tx1"/>
            </w14:solidFill>
          </w14:textFill>
        </w:rPr>
      </w:pPr>
      <w:r>
        <w:rPr>
          <w:rFonts w:ascii="宋体" w:hAnsi="宋体" w:cs="宋体"/>
          <w:bCs/>
          <w:color w:val="000000" w:themeColor="text1"/>
          <w:sz w:val="24"/>
          <w14:textFill>
            <w14:solidFill>
              <w14:schemeClr w14:val="tx1"/>
            </w14:solidFill>
          </w14:textFill>
        </w:rPr>
        <w:t>1. 交货期：</w:t>
      </w:r>
    </w:p>
    <w:p>
      <w:pPr>
        <w:snapToGrid w:val="0"/>
        <w:spacing w:before="156" w:after="156" w:line="240" w:lineRule="auto"/>
        <w:rPr>
          <w:rFonts w:ascii="宋体" w:hAnsi="宋体" w:cs="宋体"/>
          <w:b/>
          <w:color w:val="000000" w:themeColor="text1"/>
          <w:sz w:val="24"/>
          <w:u w:val="single"/>
          <w14:textFill>
            <w14:solidFill>
              <w14:schemeClr w14:val="tx1"/>
            </w14:solidFill>
          </w14:textFill>
        </w:rPr>
      </w:pPr>
      <w:r>
        <w:rPr>
          <w:rFonts w:ascii="宋体" w:hAnsi="宋体" w:cs="宋体"/>
          <w:bCs/>
          <w:color w:val="000000" w:themeColor="text1"/>
          <w:sz w:val="24"/>
          <w14:textFill>
            <w14:solidFill>
              <w14:schemeClr w14:val="tx1"/>
            </w14:solidFill>
          </w14:textFill>
        </w:rPr>
        <w:t>2.交货地点：</w:t>
      </w:r>
    </w:p>
    <w:p>
      <w:pPr>
        <w:snapToGrid w:val="0"/>
        <w:spacing w:before="156" w:after="156" w:line="24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十、付款方式</w:t>
      </w:r>
    </w:p>
    <w:p>
      <w:pPr>
        <w:snapToGrid w:val="0"/>
        <w:spacing w:before="156" w:after="156" w:line="240" w:lineRule="auto"/>
        <w:rPr>
          <w:rFonts w:ascii="宋体" w:hAnsi="宋体" w:cs="宋体"/>
          <w:b/>
          <w:color w:val="000000" w:themeColor="text1"/>
          <w:sz w:val="24"/>
          <w:szCs w:val="20"/>
          <w14:textFill>
            <w14:solidFill>
              <w14:schemeClr w14:val="tx1"/>
            </w14:solidFill>
          </w14:textFill>
        </w:rPr>
      </w:pPr>
      <w:r>
        <w:rPr>
          <w:rFonts w:ascii="宋体" w:hAnsi="宋体" w:cs="宋体"/>
          <w:b/>
          <w:color w:val="000000" w:themeColor="text1"/>
          <w:sz w:val="24"/>
          <w14:textFill>
            <w14:solidFill>
              <w14:schemeClr w14:val="tx1"/>
            </w14:solidFill>
          </w14:textFill>
        </w:rPr>
        <w:t>十一、税费</w:t>
      </w:r>
    </w:p>
    <w:p>
      <w:pPr>
        <w:snapToGrid w:val="0"/>
        <w:spacing w:before="156" w:after="156" w:line="240" w:lineRule="auto"/>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本合同执行中相关的一切税费均由乙方负担。</w:t>
      </w:r>
    </w:p>
    <w:p>
      <w:pPr>
        <w:snapToGrid w:val="0"/>
        <w:spacing w:before="156" w:after="156" w:line="240" w:lineRule="auto"/>
        <w:ind w:left="412" w:hanging="412"/>
        <w:rPr>
          <w:rFonts w:ascii="宋体" w:hAnsi="宋体" w:cs="宋体"/>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十二、质量保证及售后服务</w:t>
      </w:r>
    </w:p>
    <w:p>
      <w:pPr>
        <w:tabs>
          <w:tab w:val="left" w:pos="0"/>
        </w:tabs>
        <w:snapToGrid w:val="0"/>
        <w:spacing w:before="156" w:after="156" w:line="24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.乙方应按招标文件规定的货物性能、技术要求、质量标准向甲方提供</w:t>
      </w:r>
    </w:p>
    <w:p>
      <w:pPr>
        <w:snapToGrid w:val="0"/>
        <w:spacing w:before="156" w:after="156" w:line="24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未经使用的全新产品。</w:t>
      </w:r>
    </w:p>
    <w:p>
      <w:pPr>
        <w:snapToGrid w:val="0"/>
        <w:spacing w:before="156" w:after="156" w:line="240" w:lineRule="auto"/>
        <w:ind w:left="480" w:hanging="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 乙方提供的货物在质保期内因货物本身的质量问题发生故障，乙方应负责免费更</w:t>
      </w:r>
    </w:p>
    <w:p>
      <w:pPr>
        <w:snapToGrid w:val="0"/>
        <w:spacing w:before="156" w:after="156" w:line="240" w:lineRule="auto"/>
        <w:ind w:left="480" w:hanging="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换。对达不到技术要求者，根据实际情况，经双方协商，可按以下办法处理：</w:t>
      </w:r>
    </w:p>
    <w:p>
      <w:pPr>
        <w:snapToGrid w:val="0"/>
        <w:spacing w:before="156" w:after="156" w:line="240" w:lineRule="auto"/>
        <w:ind w:firstLine="42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⑴更换：由乙方承担所发生的全部费用。</w:t>
      </w:r>
    </w:p>
    <w:p>
      <w:pPr>
        <w:snapToGrid w:val="0"/>
        <w:spacing w:before="156" w:after="156" w:line="240" w:lineRule="auto"/>
        <w:ind w:firstLine="42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⑵贬值处理：由甲乙双方合议定价。</w:t>
      </w:r>
    </w:p>
    <w:p>
      <w:pPr>
        <w:snapToGrid w:val="0"/>
        <w:spacing w:before="120" w:after="120" w:line="240" w:lineRule="auto"/>
        <w:ind w:left="42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⑶退货处理：乙方应退还甲方支付的合同款，同时应承担该货物的直接费用（运输、保险、检验、货款利息及银行手续费等）。</w:t>
      </w:r>
    </w:p>
    <w:p>
      <w:pPr>
        <w:snapToGrid w:val="0"/>
        <w:spacing w:before="156" w:after="156" w:line="24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 如在使用过程中发生质量问题，乙方在接到甲方通知后在小时内到达甲方现场。</w:t>
      </w:r>
    </w:p>
    <w:p>
      <w:pPr>
        <w:snapToGrid w:val="0"/>
        <w:spacing w:before="156" w:after="156" w:line="24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 在质保期内，乙方应对货物出现的质量及安全问题负责处理解决并承担一切费用。</w:t>
      </w:r>
    </w:p>
    <w:p>
      <w:pPr>
        <w:snapToGrid w:val="0"/>
        <w:spacing w:before="156" w:after="156" w:line="24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5.上述的货物免费保修期为</w:t>
      </w:r>
      <w:r>
        <w:rPr>
          <w:rFonts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年，因人为因素出现的故障不在免费保修范围内。超过保修期的机器货物，终生维修，维修时只收部件成本费。</w:t>
      </w:r>
    </w:p>
    <w:p>
      <w:pPr>
        <w:snapToGrid w:val="0"/>
        <w:spacing w:before="156" w:after="156" w:line="24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十三、调试和验收</w:t>
      </w:r>
    </w:p>
    <w:p>
      <w:pPr>
        <w:snapToGrid w:val="0"/>
        <w:spacing w:before="156" w:after="156" w:line="24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snapToGrid w:val="0"/>
        <w:spacing w:before="156" w:after="156" w:line="24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 乙方交货前应对产品作出全面检查和对验收文件进行整理，并列出清单，作为甲方收货验收和使用的技术条件依据，检验的结果应随货物交甲方。</w:t>
      </w:r>
    </w:p>
    <w:p>
      <w:pPr>
        <w:snapToGrid w:val="0"/>
        <w:spacing w:before="156" w:after="156" w:line="24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 甲方对乙方提供的货物在使用前进行调试时，乙方需负责安装并培训甲方的使用操作人员，并协助甲方一起调试，直到符合技术要求，甲方才做最终验收。</w:t>
      </w:r>
    </w:p>
    <w:p>
      <w:pPr>
        <w:snapToGrid w:val="0"/>
        <w:spacing w:before="156" w:after="156" w:line="24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 对技术复杂的货物，甲方应请国家认可的专业检测机构参与初步验收及最终验收，并由其出具质量检测报告。</w:t>
      </w:r>
    </w:p>
    <w:p>
      <w:pPr>
        <w:snapToGrid w:val="0"/>
        <w:spacing w:before="156" w:after="156" w:line="24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 验收时乙方必须在现场，验收完毕后作出验收结果报告；验收费用由乙方负责。</w:t>
      </w:r>
    </w:p>
    <w:p>
      <w:pPr>
        <w:snapToGrid w:val="0"/>
        <w:spacing w:before="156" w:after="156" w:line="24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十四、货物包装、发运及运输</w:t>
      </w:r>
    </w:p>
    <w:p>
      <w:pPr>
        <w:snapToGrid w:val="0"/>
        <w:spacing w:before="156" w:after="156" w:line="240" w:lineRule="auto"/>
        <w:ind w:left="480" w:hanging="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 乙方应在货物发运前对其进行满足运输距离、防潮、防震、防锈和防破损装卸等</w:t>
      </w:r>
      <w:r>
        <w:rPr>
          <w:rFonts w:hint="eastAsia" w:ascii="宋体" w:hAnsi="宋体" w:cs="宋体"/>
          <w:color w:val="000000" w:themeColor="text1"/>
          <w:sz w:val="24"/>
          <w14:textFill>
            <w14:solidFill>
              <w14:schemeClr w14:val="tx1"/>
            </w14:solidFill>
          </w14:textFill>
        </w:rPr>
        <w:t>要</w:t>
      </w:r>
    </w:p>
    <w:p>
      <w:pPr>
        <w:snapToGrid w:val="0"/>
        <w:spacing w:before="156" w:after="156" w:line="240" w:lineRule="auto"/>
        <w:ind w:left="480" w:hanging="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求包装，以保证货物安全运达甲方指定地点。</w:t>
      </w:r>
    </w:p>
    <w:p>
      <w:pPr>
        <w:snapToGrid w:val="0"/>
        <w:spacing w:before="156" w:after="156" w:line="240" w:lineRule="auto"/>
        <w:ind w:left="480" w:hanging="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 使用说明书、质量检验证明书、随配附件和工具以及清单一并附于货物内。</w:t>
      </w:r>
    </w:p>
    <w:p>
      <w:pPr>
        <w:snapToGrid w:val="0"/>
        <w:spacing w:before="156" w:after="156" w:line="240" w:lineRule="auto"/>
        <w:ind w:left="480" w:hanging="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 乙方在货物发运手续办理完毕后24小时内或货到甲方48小时前通知甲方，以准备</w:t>
      </w:r>
    </w:p>
    <w:p>
      <w:pPr>
        <w:snapToGrid w:val="0"/>
        <w:spacing w:before="156" w:after="156" w:line="240" w:lineRule="auto"/>
        <w:ind w:left="480" w:hanging="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接货。</w:t>
      </w:r>
    </w:p>
    <w:p>
      <w:pPr>
        <w:snapToGrid w:val="0"/>
        <w:spacing w:before="156" w:after="156" w:line="240" w:lineRule="auto"/>
        <w:ind w:left="480" w:hanging="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 货物在交付甲方前发生的风险均由乙方负责。</w:t>
      </w:r>
    </w:p>
    <w:p>
      <w:pPr>
        <w:snapToGrid w:val="0"/>
        <w:spacing w:before="156" w:after="156" w:line="240" w:lineRule="auto"/>
        <w:ind w:left="480" w:right="26" w:hanging="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 货物在规定的交付期限内由乙方送达甲方指定的地点视为交付，乙方同时需通知甲</w:t>
      </w:r>
    </w:p>
    <w:p>
      <w:pPr>
        <w:snapToGrid w:val="0"/>
        <w:spacing w:before="156" w:after="156" w:line="240" w:lineRule="auto"/>
        <w:ind w:left="480" w:right="26" w:hanging="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方货物已送达。</w:t>
      </w:r>
    </w:p>
    <w:p>
      <w:pPr>
        <w:snapToGrid w:val="0"/>
        <w:spacing w:before="156" w:after="156" w:line="24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十五、违约责任</w:t>
      </w:r>
    </w:p>
    <w:p>
      <w:pPr>
        <w:snapToGrid w:val="0"/>
        <w:spacing w:before="156" w:after="156" w:line="24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 甲方无正当理由拒收货物的，甲方向乙方偿付拒收货款总值的百分之五违约金。</w:t>
      </w:r>
    </w:p>
    <w:p>
      <w:pPr>
        <w:snapToGrid w:val="0"/>
        <w:spacing w:before="156" w:after="156" w:line="24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 甲方无故逾期验收和办理货款支付手续的,甲方应按逾期付款总额每日万分之五向</w:t>
      </w:r>
    </w:p>
    <w:p>
      <w:pPr>
        <w:snapToGrid w:val="0"/>
        <w:spacing w:before="156" w:after="156" w:line="24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乙方支付违约金。</w:t>
      </w:r>
    </w:p>
    <w:p>
      <w:pPr>
        <w:snapToGrid w:val="0"/>
        <w:spacing w:before="156" w:after="156" w:line="24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 乙方逾期交付货物的，乙方应按逾期交货总额每日千分之六向甲方支付违约金，由</w:t>
      </w:r>
    </w:p>
    <w:p>
      <w:pPr>
        <w:snapToGrid w:val="0"/>
        <w:spacing w:before="156" w:after="156" w:line="24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甲方从待付货款中扣除。逾期超过约定日期10个工作日不能交货的，甲方可解除本合</w:t>
      </w:r>
    </w:p>
    <w:p>
      <w:pPr>
        <w:snapToGrid w:val="0"/>
        <w:spacing w:before="156" w:after="156" w:line="24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同。乙方因逾期交货或因其他违约行为导致甲方解除合同的，乙方应向甲方支付合同</w:t>
      </w:r>
    </w:p>
    <w:p>
      <w:pPr>
        <w:snapToGrid w:val="0"/>
        <w:spacing w:before="156" w:after="156" w:line="24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总值5%的违约金，如造成甲方损失超过违约金的，超出部分由乙方继续承担赔偿</w:t>
      </w:r>
      <w:r>
        <w:rPr>
          <w:rFonts w:hint="eastAsia" w:ascii="宋体" w:hAnsi="宋体" w:cs="宋体"/>
          <w:color w:val="000000" w:themeColor="text1"/>
          <w:sz w:val="24"/>
          <w14:textFill>
            <w14:solidFill>
              <w14:schemeClr w14:val="tx1"/>
            </w14:solidFill>
          </w14:textFill>
        </w:rPr>
        <w:t>责</w:t>
      </w:r>
    </w:p>
    <w:p>
      <w:pPr>
        <w:snapToGrid w:val="0"/>
        <w:spacing w:before="156" w:after="156" w:line="24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任。 </w:t>
      </w:r>
    </w:p>
    <w:p>
      <w:pPr>
        <w:snapToGrid w:val="0"/>
        <w:spacing w:before="156" w:after="156" w:line="24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 乙方所交的货物品种、型号、规格、技术参数、质量不符合合同规定及招标文件规</w:t>
      </w:r>
    </w:p>
    <w:p>
      <w:pPr>
        <w:snapToGrid w:val="0"/>
        <w:spacing w:before="156" w:after="156" w:line="24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定标准的，甲方有权拒收该货物，乙方愿意更换货物但逾期交货的，按乙方逾期交货</w:t>
      </w:r>
    </w:p>
    <w:p>
      <w:pPr>
        <w:snapToGrid w:val="0"/>
        <w:spacing w:before="156" w:after="156" w:line="24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处理。乙方拒绝更换货物的，甲方可单方面解除合同。</w:t>
      </w:r>
    </w:p>
    <w:p>
      <w:pPr>
        <w:snapToGrid w:val="0"/>
        <w:spacing w:before="156" w:after="156" w:line="24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十六、不可抗力事件处理</w:t>
      </w:r>
    </w:p>
    <w:p>
      <w:pPr>
        <w:snapToGrid w:val="0"/>
        <w:spacing w:before="156" w:after="156" w:line="24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.在合同有效期内，任何一方因不可抗力事件导致不能履行合同，则合同履行期可延长，其延长期与不可抗力影响期相同。</w:t>
      </w:r>
    </w:p>
    <w:p>
      <w:pPr>
        <w:snapToGrid w:val="0"/>
        <w:spacing w:before="156" w:after="156" w:line="24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 不可抗力事件发生后，应立即通知对方，并寄送有关权威机构出具的证明。</w:t>
      </w:r>
    </w:p>
    <w:p>
      <w:pPr>
        <w:snapToGrid w:val="0"/>
        <w:spacing w:before="156" w:after="156" w:line="24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 不可抗力事件延续120天以上，双方应通过友好协商，确定是否继续履行合同。</w:t>
      </w:r>
    </w:p>
    <w:p>
      <w:pPr>
        <w:snapToGrid w:val="0"/>
        <w:spacing w:before="156" w:after="156" w:line="24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十七、诉讼</w:t>
      </w:r>
    </w:p>
    <w:p>
      <w:pPr>
        <w:snapToGrid w:val="0"/>
        <w:spacing w:before="156" w:after="156" w:line="240" w:lineRule="auto"/>
        <w:ind w:left="480" w:hanging="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双方在执行合同中所发生的一切争议，应通过协商解决。如协商不成，可向甲方所</w:t>
      </w:r>
    </w:p>
    <w:p>
      <w:pPr>
        <w:snapToGrid w:val="0"/>
        <w:spacing w:before="156" w:after="156" w:line="24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在地、法院起诉。</w:t>
      </w:r>
    </w:p>
    <w:p>
      <w:pPr>
        <w:snapToGrid w:val="0"/>
        <w:spacing w:before="120" w:after="120" w:line="24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十八、合同生效及其它</w:t>
      </w:r>
    </w:p>
    <w:p>
      <w:pPr>
        <w:snapToGrid w:val="0"/>
        <w:spacing w:before="120" w:after="120" w:line="24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 合同经三方法定代表人或授权代表签字并加盖单位公章后生效。</w:t>
      </w:r>
    </w:p>
    <w:p>
      <w:pPr>
        <w:snapToGrid w:val="0"/>
        <w:spacing w:before="120" w:after="120" w:line="24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2.合同执行中涉及采购资金和采购内容修改或补充的，签书面补充协议，作为主合同不可分割的一部分。</w:t>
      </w:r>
    </w:p>
    <w:p>
      <w:pPr>
        <w:snapToGrid w:val="0"/>
        <w:spacing w:before="120" w:after="120" w:line="24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3.本合同未尽事宜，遵照《中华人民共和国民法典》有关条文执行。</w:t>
      </w:r>
    </w:p>
    <w:p>
      <w:pPr>
        <w:spacing w:line="24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4.本合同一式</w:t>
      </w:r>
      <w:r>
        <w:rPr>
          <w:rFonts w:hint="eastAsia" w:ascii="宋体" w:hAnsi="宋体" w:cs="宋体"/>
          <w:color w:val="000000" w:themeColor="text1"/>
          <w:sz w:val="24"/>
          <w14:textFill>
            <w14:solidFill>
              <w14:schemeClr w14:val="tx1"/>
            </w14:solidFill>
          </w14:textFill>
        </w:rPr>
        <w:t>四</w:t>
      </w:r>
      <w:r>
        <w:rPr>
          <w:rFonts w:ascii="宋体" w:hAnsi="宋体" w:cs="宋体"/>
          <w:color w:val="000000" w:themeColor="text1"/>
          <w:sz w:val="24"/>
          <w14:textFill>
            <w14:solidFill>
              <w14:schemeClr w14:val="tx1"/>
            </w14:solidFill>
          </w14:textFill>
        </w:rPr>
        <w:t>份，招</w:t>
      </w:r>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甲、乙双方各执二份，其都具有同等法律效力。</w:t>
      </w:r>
    </w:p>
    <w:p>
      <w:pPr>
        <w:snapToGrid w:val="0"/>
        <w:spacing w:before="120" w:after="120" w:line="240" w:lineRule="auto"/>
        <w:ind w:left="480" w:hanging="480"/>
        <w:rPr>
          <w:rFonts w:ascii="宋体" w:hAnsi="宋体" w:cs="宋体"/>
          <w:color w:val="000000" w:themeColor="text1"/>
          <w:sz w:val="24"/>
          <w14:textFill>
            <w14:solidFill>
              <w14:schemeClr w14:val="tx1"/>
            </w14:solidFill>
          </w14:textFill>
        </w:rPr>
      </w:pPr>
    </w:p>
    <w:p>
      <w:pPr>
        <w:spacing w:before="120" w:after="120" w:line="240" w:lineRule="auto"/>
        <w:rPr>
          <w:rFonts w:ascii="宋体" w:hAnsi="宋体" w:cs="宋体"/>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甲方（盖公章）：                       乙方（盖公章）：</w:t>
      </w:r>
    </w:p>
    <w:p>
      <w:pPr>
        <w:snapToGrid w:val="0"/>
        <w:spacing w:before="120" w:after="120" w:line="240" w:lineRule="auto"/>
        <w:ind w:hanging="2"/>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法定代表人或受委托人                 法定代表人或受委托人</w:t>
      </w:r>
    </w:p>
    <w:p>
      <w:pPr>
        <w:snapToGrid w:val="0"/>
        <w:spacing w:before="120" w:after="120" w:line="240" w:lineRule="auto"/>
        <w:ind w:left="1" w:hanging="6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（签字）                             （签字）</w:t>
      </w:r>
    </w:p>
    <w:p>
      <w:pPr>
        <w:snapToGrid w:val="0"/>
        <w:spacing w:before="120" w:after="120" w:line="240" w:lineRule="auto"/>
        <w:ind w:hanging="2"/>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地址：                               地址： </w:t>
      </w:r>
    </w:p>
    <w:p>
      <w:pPr>
        <w:snapToGrid w:val="0"/>
        <w:spacing w:before="120" w:after="120" w:line="240" w:lineRule="auto"/>
        <w:ind w:hanging="2"/>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邮编：                               邮编：</w:t>
      </w:r>
    </w:p>
    <w:p>
      <w:pPr>
        <w:snapToGrid w:val="0"/>
        <w:spacing w:before="120" w:after="120" w:line="240" w:lineRule="auto"/>
        <w:ind w:hanging="2"/>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电话：                               电话：</w:t>
      </w:r>
    </w:p>
    <w:p>
      <w:pPr>
        <w:snapToGrid w:val="0"/>
        <w:spacing w:before="120" w:after="120" w:line="240" w:lineRule="auto"/>
        <w:ind w:hanging="2"/>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传真：                               传真：</w:t>
      </w:r>
    </w:p>
    <w:p>
      <w:pPr>
        <w:snapToGrid w:val="0"/>
        <w:spacing w:before="120" w:after="120" w:line="240" w:lineRule="auto"/>
        <w:ind w:hanging="2"/>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开户银行：                           开户银行：</w:t>
      </w:r>
    </w:p>
    <w:p>
      <w:pPr>
        <w:snapToGrid w:val="0"/>
        <w:spacing w:before="120" w:after="120" w:line="240" w:lineRule="auto"/>
        <w:ind w:hanging="2"/>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帐号：                               帐号：</w:t>
      </w:r>
    </w:p>
    <w:p>
      <w:pPr>
        <w:spacing w:line="240" w:lineRule="auto"/>
        <w:rPr>
          <w:rFonts w:ascii="宋体" w:hAnsi="宋体" w:cs="宋体"/>
          <w:b/>
          <w:color w:val="000000" w:themeColor="text1"/>
          <w:sz w:val="24"/>
          <w14:textFill>
            <w14:solidFill>
              <w14:schemeClr w14:val="tx1"/>
            </w14:solidFill>
          </w14:textFill>
        </w:rPr>
      </w:pPr>
    </w:p>
    <w:p>
      <w:pPr>
        <w:spacing w:line="240" w:lineRule="auto"/>
        <w:rPr>
          <w:rFonts w:ascii="宋体" w:hAnsi="宋体" w:cs="宋体"/>
          <w:color w:val="000000" w:themeColor="text1"/>
          <w:sz w:val="24"/>
          <w14:textFill>
            <w14:solidFill>
              <w14:schemeClr w14:val="tx1"/>
            </w14:solidFill>
          </w14:textFill>
        </w:rPr>
      </w:pPr>
    </w:p>
    <w:p>
      <w:pPr>
        <w:spacing w:line="240" w:lineRule="auto"/>
        <w:rPr>
          <w:rFonts w:ascii="宋体" w:hAnsi="宋体" w:cs="宋体"/>
          <w:b/>
          <w:color w:val="000000" w:themeColor="text1"/>
          <w:sz w:val="24"/>
          <w14:textFill>
            <w14:solidFill>
              <w14:schemeClr w14:val="tx1"/>
            </w14:solidFill>
          </w14:textFill>
        </w:rPr>
      </w:pPr>
    </w:p>
    <w:p>
      <w:pPr>
        <w:spacing w:line="240" w:lineRule="auto"/>
        <w:rPr>
          <w:rFonts w:ascii="宋体" w:hAnsi="宋体" w:cs="宋体"/>
          <w:b/>
          <w:color w:val="000000" w:themeColor="text1"/>
          <w:sz w:val="24"/>
          <w14:textFill>
            <w14:solidFill>
              <w14:schemeClr w14:val="tx1"/>
            </w14:solidFill>
          </w14:textFill>
        </w:rPr>
      </w:pPr>
    </w:p>
    <w:p>
      <w:pPr>
        <w:snapToGrid w:val="0"/>
        <w:spacing w:before="120" w:after="120" w:line="240" w:lineRule="auto"/>
        <w:jc w:val="center"/>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注：签订合同时，可以使用项目相关国家标准合同文本。</w:t>
      </w:r>
      <w:r>
        <w:rPr>
          <w:color w:val="000000" w:themeColor="text1"/>
          <w14:textFill>
            <w14:solidFill>
              <w14:schemeClr w14:val="tx1"/>
            </w14:solidFill>
          </w14:textFill>
        </w:rPr>
        <w:br w:type="page"/>
      </w:r>
    </w:p>
    <w:p>
      <w:pPr>
        <w:pStyle w:val="6"/>
        <w:keepNext w:val="0"/>
        <w:keepLines w:val="0"/>
        <w:pageBreakBefore/>
        <w:jc w:val="center"/>
        <w:rPr>
          <w:rFonts w:ascii="宋体" w:hAnsi="宋体" w:cs="宋体"/>
          <w:sz w:val="32"/>
          <w:szCs w:val="32"/>
        </w:rPr>
      </w:pPr>
      <w:bookmarkStart w:id="22" w:name="_Toc26597"/>
      <w:bookmarkStart w:id="23" w:name="_Toc8916"/>
      <w:r>
        <w:rPr>
          <w:rFonts w:hint="eastAsia" w:ascii="宋体" w:hAnsi="宋体" w:cs="宋体"/>
          <w:sz w:val="32"/>
          <w:szCs w:val="32"/>
        </w:rPr>
        <w:t>第六章  谈判响应文件附件格式</w:t>
      </w:r>
      <w:bookmarkEnd w:id="22"/>
      <w:bookmarkEnd w:id="23"/>
    </w:p>
    <w:p>
      <w:pPr>
        <w:keepNext/>
        <w:keepLines/>
        <w:spacing w:before="260" w:after="260" w:line="416" w:lineRule="auto"/>
        <w:outlineLvl w:val="1"/>
        <w:rPr>
          <w:rFonts w:ascii="宋体" w:hAnsi="宋体" w:cs="宋体"/>
          <w:bCs/>
          <w:sz w:val="24"/>
          <w:szCs w:val="32"/>
        </w:rPr>
      </w:pPr>
      <w:bookmarkStart w:id="24" w:name="_Toc28609"/>
      <w:bookmarkStart w:id="25" w:name="_Toc12606"/>
      <w:bookmarkStart w:id="26" w:name="_Toc3306"/>
      <w:r>
        <w:rPr>
          <w:rFonts w:hint="eastAsia" w:ascii="宋体" w:hAnsi="宋体" w:cs="宋体"/>
          <w:bCs/>
          <w:sz w:val="24"/>
          <w:szCs w:val="32"/>
        </w:rPr>
        <w:t>附件一：</w:t>
      </w:r>
      <w:bookmarkEnd w:id="24"/>
      <w:r>
        <w:rPr>
          <w:rFonts w:hint="eastAsia" w:ascii="宋体" w:hAnsi="宋体" w:cs="宋体"/>
          <w:bCs/>
          <w:sz w:val="24"/>
          <w:szCs w:val="32"/>
        </w:rPr>
        <w:t>投 标 书</w:t>
      </w:r>
      <w:bookmarkEnd w:id="25"/>
      <w:bookmarkEnd w:id="26"/>
    </w:p>
    <w:p>
      <w:pPr>
        <w:jc w:val="center"/>
        <w:rPr>
          <w:rFonts w:ascii="宋体" w:hAnsi="宋体" w:cs="宋体"/>
          <w:b/>
          <w:bCs/>
          <w:sz w:val="36"/>
          <w:szCs w:val="36"/>
        </w:rPr>
      </w:pPr>
      <w:r>
        <w:rPr>
          <w:rFonts w:hint="eastAsia" w:ascii="宋体" w:hAnsi="宋体" w:cs="宋体"/>
          <w:b/>
          <w:bCs/>
          <w:sz w:val="36"/>
          <w:szCs w:val="36"/>
        </w:rPr>
        <w:t>投 标 书</w:t>
      </w:r>
    </w:p>
    <w:p>
      <w:pPr>
        <w:widowControl/>
        <w:overflowPunct w:val="0"/>
        <w:autoSpaceDE w:val="0"/>
        <w:autoSpaceDN w:val="0"/>
        <w:adjustRightInd w:val="0"/>
        <w:spacing w:line="360" w:lineRule="auto"/>
        <w:jc w:val="left"/>
        <w:textAlignment w:val="baseline"/>
        <w:rPr>
          <w:rFonts w:ascii="宋体" w:hAnsi="宋体" w:cs="宋体"/>
          <w:kern w:val="0"/>
          <w:sz w:val="24"/>
        </w:rPr>
      </w:pPr>
    </w:p>
    <w:p>
      <w:pPr>
        <w:widowControl/>
        <w:overflowPunct w:val="0"/>
        <w:autoSpaceDE w:val="0"/>
        <w:autoSpaceDN w:val="0"/>
        <w:adjustRightInd w:val="0"/>
        <w:spacing w:line="360" w:lineRule="auto"/>
        <w:jc w:val="left"/>
        <w:textAlignment w:val="baseline"/>
        <w:rPr>
          <w:rFonts w:ascii="宋体" w:hAnsi="宋体" w:cs="宋体"/>
          <w:kern w:val="0"/>
          <w:sz w:val="24"/>
        </w:rPr>
      </w:pPr>
      <w:r>
        <w:rPr>
          <w:rFonts w:hint="eastAsia" w:ascii="宋体" w:hAnsi="宋体" w:cs="宋体"/>
          <w:kern w:val="0"/>
          <w:sz w:val="24"/>
        </w:rPr>
        <w:t>致：浙江广厦建设职业技术大学</w:t>
      </w:r>
    </w:p>
    <w:p>
      <w:pPr>
        <w:widowControl/>
        <w:wordWrap w:val="0"/>
        <w:overflowPunct w:val="0"/>
        <w:autoSpaceDE w:val="0"/>
        <w:autoSpaceDN w:val="0"/>
        <w:adjustRightInd w:val="0"/>
        <w:spacing w:line="360" w:lineRule="auto"/>
        <w:ind w:firstLine="540" w:firstLineChars="225"/>
        <w:jc w:val="left"/>
        <w:textAlignment w:val="baseline"/>
        <w:rPr>
          <w:rFonts w:ascii="宋体" w:hAnsi="宋体" w:cs="宋体"/>
          <w:kern w:val="0"/>
          <w:sz w:val="24"/>
        </w:rPr>
      </w:pPr>
      <w:r>
        <w:rPr>
          <w:rFonts w:hint="eastAsia" w:ascii="宋体" w:hAnsi="宋体" w:cs="宋体"/>
          <w:kern w:val="0"/>
          <w:sz w:val="24"/>
        </w:rPr>
        <w:t>根据贵方为</w:t>
      </w:r>
      <w:r>
        <w:rPr>
          <w:rFonts w:hint="eastAsia" w:ascii="宋体" w:hAnsi="宋体" w:cs="宋体"/>
          <w:kern w:val="0"/>
          <w:sz w:val="24"/>
          <w:u w:val="single"/>
        </w:rPr>
        <w:t xml:space="preserve">                </w:t>
      </w:r>
      <w:r>
        <w:rPr>
          <w:rFonts w:hint="eastAsia" w:ascii="宋体" w:hAnsi="宋体" w:cs="宋体"/>
          <w:kern w:val="0"/>
          <w:sz w:val="24"/>
        </w:rPr>
        <w:t>项目的投标邀请</w:t>
      </w:r>
      <w:r>
        <w:rPr>
          <w:rFonts w:hint="eastAsia" w:ascii="宋体" w:hAnsi="宋体" w:cs="宋体"/>
          <w:kern w:val="0"/>
          <w:sz w:val="24"/>
          <w:u w:val="single"/>
        </w:rPr>
        <w:t xml:space="preserve">             </w:t>
      </w:r>
      <w:r>
        <w:rPr>
          <w:rFonts w:hint="eastAsia" w:ascii="宋体" w:hAnsi="宋体" w:cs="宋体"/>
          <w:kern w:val="0"/>
          <w:sz w:val="24"/>
        </w:rPr>
        <w:t>(采购编号)，签字代表_____________________(全名、职务) 经正式授权并代表</w:t>
      </w:r>
      <w:r>
        <w:rPr>
          <w:rFonts w:hint="eastAsia" w:ascii="宋体" w:hAnsi="宋体" w:cs="宋体"/>
          <w:sz w:val="24"/>
        </w:rPr>
        <w:t>谈判响应方</w:t>
      </w:r>
      <w:r>
        <w:rPr>
          <w:rFonts w:hint="eastAsia" w:ascii="宋体" w:hAnsi="宋体" w:cs="宋体"/>
          <w:kern w:val="0"/>
          <w:sz w:val="24"/>
        </w:rPr>
        <w:t>______________________________ (</w:t>
      </w:r>
      <w:r>
        <w:rPr>
          <w:rFonts w:hint="eastAsia" w:ascii="宋体" w:hAnsi="宋体" w:cs="宋体"/>
          <w:sz w:val="24"/>
        </w:rPr>
        <w:t>谈判响应方</w:t>
      </w:r>
      <w:r>
        <w:rPr>
          <w:rFonts w:hint="eastAsia" w:ascii="宋体" w:hAnsi="宋体" w:cs="宋体"/>
          <w:kern w:val="0"/>
          <w:sz w:val="24"/>
        </w:rPr>
        <w:t>名称、地址)。</w:t>
      </w:r>
    </w:p>
    <w:p>
      <w:pPr>
        <w:widowControl/>
        <w:overflowPunct w:val="0"/>
        <w:autoSpaceDE w:val="0"/>
        <w:autoSpaceDN w:val="0"/>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据此函，签字代表宣布同意如下：</w:t>
      </w:r>
    </w:p>
    <w:p>
      <w:pPr>
        <w:widowControl/>
        <w:overflowPunct w:val="0"/>
        <w:autoSpaceDE w:val="0"/>
        <w:autoSpaceDN w:val="0"/>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1．所附谈判报价表中规定的应提供和支付的服务投标总价（第一次报价</w:t>
      </w:r>
      <w:r>
        <w:rPr>
          <w:rFonts w:hint="eastAsia" w:ascii="宋体" w:hAnsi="宋体" w:cs="宋体"/>
          <w:b/>
          <w:kern w:val="0"/>
          <w:sz w:val="24"/>
        </w:rPr>
        <w:t>）</w:t>
      </w:r>
      <w:r>
        <w:rPr>
          <w:rFonts w:hint="eastAsia" w:ascii="宋体" w:hAnsi="宋体" w:cs="宋体"/>
          <w:kern w:val="0"/>
          <w:sz w:val="24"/>
        </w:rPr>
        <w:t>为(注明币种)</w:t>
      </w:r>
      <w:r>
        <w:rPr>
          <w:rFonts w:hint="eastAsia" w:ascii="宋体" w:hAnsi="宋体" w:cs="宋体"/>
          <w:kern w:val="0"/>
          <w:sz w:val="24"/>
          <w:u w:val="single"/>
        </w:rPr>
        <w:t xml:space="preserve">          </w:t>
      </w:r>
      <w:r>
        <w:rPr>
          <w:rFonts w:hint="eastAsia" w:ascii="宋体" w:hAnsi="宋体" w:cs="宋体"/>
          <w:kern w:val="0"/>
          <w:sz w:val="24"/>
        </w:rPr>
        <w:t>，即(大写)</w:t>
      </w:r>
      <w:r>
        <w:rPr>
          <w:rFonts w:hint="eastAsia" w:ascii="宋体" w:hAnsi="宋体" w:cs="宋体"/>
          <w:kern w:val="0"/>
          <w:sz w:val="24"/>
          <w:u w:val="single"/>
        </w:rPr>
        <w:t xml:space="preserve">                    　　　　   </w:t>
      </w:r>
      <w:r>
        <w:rPr>
          <w:rFonts w:hint="eastAsia" w:ascii="宋体" w:hAnsi="宋体" w:cs="宋体"/>
          <w:kern w:val="0"/>
          <w:sz w:val="24"/>
        </w:rPr>
        <w:t>。</w:t>
      </w:r>
    </w:p>
    <w:p>
      <w:pPr>
        <w:widowControl/>
        <w:overflowPunct w:val="0"/>
        <w:autoSpaceDE w:val="0"/>
        <w:autoSpaceDN w:val="0"/>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2．</w:t>
      </w:r>
      <w:r>
        <w:rPr>
          <w:rFonts w:hint="eastAsia" w:ascii="宋体" w:hAnsi="宋体" w:cs="宋体"/>
          <w:sz w:val="24"/>
        </w:rPr>
        <w:t>谈判响应方</w:t>
      </w:r>
      <w:r>
        <w:rPr>
          <w:rFonts w:hint="eastAsia" w:ascii="宋体" w:hAnsi="宋体" w:cs="宋体"/>
          <w:kern w:val="0"/>
          <w:sz w:val="24"/>
        </w:rPr>
        <w:t>已详细审查全部招标文件，我们完全理解并同意放弃对这方面有不明及误解的权利。</w:t>
      </w:r>
    </w:p>
    <w:p>
      <w:pPr>
        <w:widowControl/>
        <w:overflowPunct w:val="0"/>
        <w:autoSpaceDE w:val="0"/>
        <w:autoSpaceDN w:val="0"/>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3．我方将按招标文件规定履行合同责任和义务。</w:t>
      </w:r>
    </w:p>
    <w:p>
      <w:pPr>
        <w:widowControl/>
        <w:overflowPunct w:val="0"/>
        <w:autoSpaceDE w:val="0"/>
        <w:autoSpaceDN w:val="0"/>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4．其投标自开标日起有效期</w:t>
      </w:r>
      <w:r>
        <w:rPr>
          <w:rFonts w:hint="eastAsia" w:ascii="宋体" w:hAnsi="宋体" w:cs="宋体"/>
          <w:kern w:val="0"/>
          <w:sz w:val="24"/>
          <w:u w:val="single"/>
        </w:rPr>
        <w:t xml:space="preserve"> 60 </w:t>
      </w:r>
      <w:r>
        <w:rPr>
          <w:rFonts w:hint="eastAsia" w:ascii="宋体" w:hAnsi="宋体" w:cs="宋体"/>
          <w:kern w:val="0"/>
          <w:sz w:val="24"/>
        </w:rPr>
        <w:t>天。</w:t>
      </w:r>
    </w:p>
    <w:p>
      <w:pPr>
        <w:widowControl/>
        <w:overflowPunct w:val="0"/>
        <w:autoSpaceDE w:val="0"/>
        <w:autoSpaceDN w:val="0"/>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5．如果在规定的开标时间后，我方在投标有效期内撤回投标或放弃中标的，加入政府采购黑名单。</w:t>
      </w:r>
    </w:p>
    <w:p>
      <w:pPr>
        <w:widowControl/>
        <w:overflowPunct w:val="0"/>
        <w:autoSpaceDE w:val="0"/>
        <w:autoSpaceDN w:val="0"/>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6．我方同意提供按照贵方可能要求的与其投标有关的一切数据或资料，理解贵方不一定要接受最低价的投标或收到的任何投标。</w:t>
      </w:r>
    </w:p>
    <w:p>
      <w:pPr>
        <w:widowControl/>
        <w:overflowPunct w:val="0"/>
        <w:autoSpaceDE w:val="0"/>
        <w:autoSpaceDN w:val="0"/>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7．与本投标有关的一切正式往来通讯请寄：</w:t>
      </w:r>
    </w:p>
    <w:p>
      <w:pPr>
        <w:widowControl/>
        <w:overflowPunct w:val="0"/>
        <w:autoSpaceDE w:val="0"/>
        <w:autoSpaceDN w:val="0"/>
        <w:adjustRightInd w:val="0"/>
        <w:spacing w:line="360" w:lineRule="auto"/>
        <w:jc w:val="left"/>
        <w:textAlignment w:val="baseline"/>
        <w:rPr>
          <w:rFonts w:ascii="宋体" w:hAnsi="宋体" w:cs="宋体"/>
          <w:kern w:val="0"/>
          <w:sz w:val="24"/>
        </w:rPr>
      </w:pPr>
      <w:r>
        <w:rPr>
          <w:rFonts w:hint="eastAsia" w:ascii="宋体" w:hAnsi="宋体" w:cs="宋体"/>
          <w:kern w:val="0"/>
          <w:sz w:val="24"/>
        </w:rPr>
        <w:t xml:space="preserve">    地址：______________________邮编：______________________                </w:t>
      </w:r>
    </w:p>
    <w:p>
      <w:pPr>
        <w:widowControl/>
        <w:overflowPunct w:val="0"/>
        <w:autoSpaceDE w:val="0"/>
        <w:autoSpaceDN w:val="0"/>
        <w:adjustRightInd w:val="0"/>
        <w:spacing w:line="360" w:lineRule="auto"/>
        <w:ind w:firstLine="480"/>
        <w:jc w:val="left"/>
        <w:textAlignment w:val="baseline"/>
        <w:rPr>
          <w:rFonts w:ascii="宋体" w:hAnsi="宋体" w:cs="宋体"/>
          <w:kern w:val="0"/>
          <w:sz w:val="24"/>
        </w:rPr>
      </w:pPr>
      <w:r>
        <w:rPr>
          <w:rFonts w:hint="eastAsia" w:ascii="宋体" w:hAnsi="宋体" w:cs="宋体"/>
          <w:kern w:val="0"/>
          <w:sz w:val="24"/>
        </w:rPr>
        <w:t xml:space="preserve">电话：______________________传真：______________________     </w:t>
      </w:r>
    </w:p>
    <w:p>
      <w:pPr>
        <w:widowControl/>
        <w:overflowPunct w:val="0"/>
        <w:autoSpaceDE w:val="0"/>
        <w:autoSpaceDN w:val="0"/>
        <w:adjustRightInd w:val="0"/>
        <w:spacing w:line="360" w:lineRule="auto"/>
        <w:ind w:firstLine="480"/>
        <w:jc w:val="left"/>
        <w:textAlignment w:val="baseline"/>
        <w:rPr>
          <w:rFonts w:ascii="宋体" w:hAnsi="宋体" w:cs="宋体"/>
          <w:kern w:val="0"/>
          <w:sz w:val="24"/>
        </w:rPr>
      </w:pPr>
      <w:r>
        <w:rPr>
          <w:rFonts w:hint="eastAsia" w:ascii="宋体" w:hAnsi="宋体" w:cs="宋体"/>
          <w:kern w:val="0"/>
          <w:sz w:val="24"/>
        </w:rPr>
        <w:t xml:space="preserve">           </w:t>
      </w:r>
    </w:p>
    <w:p>
      <w:pPr>
        <w:widowControl/>
        <w:overflowPunct w:val="0"/>
        <w:autoSpaceDE w:val="0"/>
        <w:autoSpaceDN w:val="0"/>
        <w:adjustRightInd w:val="0"/>
        <w:spacing w:line="360" w:lineRule="auto"/>
        <w:jc w:val="left"/>
        <w:textAlignment w:val="baseline"/>
        <w:rPr>
          <w:rFonts w:ascii="宋体" w:hAnsi="宋体" w:cs="宋体"/>
          <w:kern w:val="0"/>
          <w:sz w:val="24"/>
        </w:rPr>
      </w:pPr>
      <w:r>
        <w:rPr>
          <w:rFonts w:hint="eastAsia" w:ascii="宋体" w:hAnsi="宋体" w:cs="宋体"/>
          <w:kern w:val="0"/>
          <w:sz w:val="24"/>
        </w:rPr>
        <w:t xml:space="preserve">    </w:t>
      </w:r>
      <w:r>
        <w:rPr>
          <w:rFonts w:hint="eastAsia" w:ascii="宋体" w:hAnsi="宋体" w:cs="宋体"/>
          <w:sz w:val="24"/>
        </w:rPr>
        <w:t>谈判响应方</w:t>
      </w:r>
      <w:r>
        <w:rPr>
          <w:rFonts w:hint="eastAsia" w:ascii="宋体" w:hAnsi="宋体" w:cs="宋体"/>
          <w:kern w:val="0"/>
          <w:sz w:val="24"/>
        </w:rPr>
        <w:t>名称: ___________</w:t>
      </w:r>
      <w:r>
        <w:rPr>
          <w:rFonts w:hint="eastAsia" w:ascii="宋体" w:hAnsi="宋体" w:cs="宋体"/>
          <w:kern w:val="0"/>
          <w:sz w:val="24"/>
        </w:rPr>
        <w:softHyphen/>
      </w:r>
      <w:r>
        <w:rPr>
          <w:rFonts w:hint="eastAsia" w:ascii="宋体" w:hAnsi="宋体" w:cs="宋体"/>
          <w:kern w:val="0"/>
          <w:sz w:val="24"/>
        </w:rPr>
        <w:softHyphen/>
      </w:r>
      <w:r>
        <w:rPr>
          <w:rFonts w:hint="eastAsia" w:ascii="宋体" w:hAnsi="宋体" w:cs="宋体"/>
          <w:kern w:val="0"/>
          <w:sz w:val="24"/>
        </w:rPr>
        <w:softHyphen/>
      </w:r>
      <w:r>
        <w:rPr>
          <w:rFonts w:hint="eastAsia" w:ascii="宋体" w:hAnsi="宋体" w:cs="宋体"/>
          <w:kern w:val="0"/>
          <w:sz w:val="24"/>
        </w:rPr>
        <w:softHyphen/>
      </w:r>
      <w:r>
        <w:rPr>
          <w:rFonts w:hint="eastAsia" w:ascii="宋体" w:hAnsi="宋体" w:cs="宋体"/>
          <w:kern w:val="0"/>
          <w:sz w:val="24"/>
        </w:rPr>
        <w:t>________________ (公章)</w:t>
      </w:r>
    </w:p>
    <w:p>
      <w:pPr>
        <w:widowControl/>
        <w:overflowPunct w:val="0"/>
        <w:autoSpaceDE w:val="0"/>
        <w:autoSpaceDN w:val="0"/>
        <w:adjustRightInd w:val="0"/>
        <w:spacing w:line="360" w:lineRule="auto"/>
        <w:jc w:val="left"/>
        <w:textAlignment w:val="baseline"/>
        <w:rPr>
          <w:rFonts w:ascii="宋体" w:hAnsi="宋体" w:cs="宋体"/>
          <w:kern w:val="0"/>
          <w:sz w:val="24"/>
        </w:rPr>
      </w:pPr>
      <w:r>
        <w:rPr>
          <w:rFonts w:hint="eastAsia" w:ascii="宋体" w:hAnsi="宋体" w:cs="宋体"/>
          <w:kern w:val="0"/>
          <w:sz w:val="24"/>
        </w:rPr>
        <w:t xml:space="preserve">    </w:t>
      </w:r>
      <w:r>
        <w:rPr>
          <w:rFonts w:hint="eastAsia" w:ascii="宋体" w:hAnsi="宋体" w:cs="宋体"/>
          <w:sz w:val="24"/>
        </w:rPr>
        <w:t>谈判响应方</w:t>
      </w:r>
      <w:r>
        <w:rPr>
          <w:rFonts w:hint="eastAsia" w:ascii="宋体" w:hAnsi="宋体" w:cs="宋体"/>
          <w:kern w:val="0"/>
          <w:sz w:val="24"/>
        </w:rPr>
        <w:t>代表姓名、职务: ______________________</w:t>
      </w:r>
    </w:p>
    <w:p>
      <w:pPr>
        <w:spacing w:line="360" w:lineRule="auto"/>
        <w:ind w:firstLine="475" w:firstLineChars="198"/>
        <w:rPr>
          <w:rFonts w:ascii="宋体" w:hAnsi="宋体" w:cs="宋体"/>
          <w:sz w:val="24"/>
        </w:rPr>
      </w:pPr>
      <w:r>
        <w:rPr>
          <w:rFonts w:hint="eastAsia" w:ascii="宋体" w:hAnsi="宋体" w:cs="宋体"/>
          <w:sz w:val="24"/>
        </w:rPr>
        <w:t>谈判响应日期: _______年____月____日  委托</w:t>
      </w:r>
      <w:bookmarkStart w:id="34" w:name="_GoBack"/>
      <w:bookmarkEnd w:id="34"/>
      <w:r>
        <w:rPr>
          <w:rFonts w:hint="eastAsia" w:ascii="宋体" w:hAnsi="宋体" w:cs="宋体"/>
          <w:sz w:val="24"/>
        </w:rPr>
        <w:t>代理人签字: ________</w:t>
      </w:r>
      <w:r>
        <w:rPr>
          <w:rFonts w:hint="eastAsia" w:ascii="宋体" w:hAnsi="宋体" w:cs="宋体"/>
          <w:sz w:val="24"/>
        </w:rPr>
        <w:softHyphen/>
      </w:r>
      <w:r>
        <w:rPr>
          <w:rFonts w:hint="eastAsia" w:ascii="宋体" w:hAnsi="宋体" w:cs="宋体"/>
          <w:sz w:val="24"/>
        </w:rPr>
        <w:t>__</w:t>
      </w:r>
    </w:p>
    <w:p>
      <w:pPr>
        <w:spacing w:line="360" w:lineRule="auto"/>
        <w:rPr>
          <w:rFonts w:ascii="宋体" w:hAnsi="宋体" w:cs="宋体"/>
          <w:b/>
          <w:bCs/>
          <w:sz w:val="24"/>
        </w:rPr>
      </w:pPr>
    </w:p>
    <w:p>
      <w:pPr>
        <w:jc w:val="center"/>
        <w:rPr>
          <w:rFonts w:ascii="宋体" w:hAnsi="宋体" w:cs="宋体"/>
          <w:b/>
          <w:bCs/>
          <w:sz w:val="24"/>
        </w:rPr>
      </w:pPr>
    </w:p>
    <w:p>
      <w:pPr>
        <w:keepNext/>
        <w:keepLines/>
        <w:pageBreakBefore/>
        <w:spacing w:before="260" w:after="260" w:line="416" w:lineRule="auto"/>
        <w:outlineLvl w:val="1"/>
        <w:rPr>
          <w:rFonts w:ascii="宋体" w:hAnsi="宋体" w:cs="宋体"/>
          <w:sz w:val="24"/>
          <w:szCs w:val="32"/>
        </w:rPr>
      </w:pPr>
      <w:bookmarkStart w:id="27" w:name="_Toc8060"/>
      <w:bookmarkStart w:id="28" w:name="_Toc24222"/>
      <w:r>
        <w:rPr>
          <w:rFonts w:hint="eastAsia" w:ascii="宋体" w:hAnsi="宋体" w:cs="宋体"/>
          <w:bCs/>
          <w:sz w:val="24"/>
          <w:szCs w:val="32"/>
        </w:rPr>
        <w:t>附件</w:t>
      </w:r>
      <w:r>
        <w:rPr>
          <w:rFonts w:hint="eastAsia" w:ascii="宋体" w:hAnsi="宋体" w:cs="宋体"/>
          <w:kern w:val="0"/>
          <w:sz w:val="24"/>
        </w:rPr>
        <w:t>二</w:t>
      </w:r>
      <w:r>
        <w:rPr>
          <w:rFonts w:hint="eastAsia" w:ascii="宋体" w:hAnsi="宋体" w:cs="宋体"/>
          <w:bCs/>
          <w:sz w:val="24"/>
          <w:szCs w:val="32"/>
        </w:rPr>
        <w:t>：初次报价表</w:t>
      </w:r>
      <w:bookmarkEnd w:id="27"/>
      <w:bookmarkEnd w:id="28"/>
    </w:p>
    <w:p>
      <w:pPr>
        <w:snapToGrid w:val="0"/>
        <w:spacing w:before="50" w:after="50" w:line="360" w:lineRule="auto"/>
        <w:jc w:val="center"/>
        <w:rPr>
          <w:rFonts w:ascii="宋体" w:hAnsi="宋体" w:cs="宋体"/>
          <w:b/>
          <w:sz w:val="32"/>
          <w:szCs w:val="32"/>
        </w:rPr>
      </w:pPr>
      <w:r>
        <w:rPr>
          <w:rFonts w:hint="eastAsia" w:ascii="宋体" w:hAnsi="宋体" w:cs="宋体"/>
          <w:b/>
          <w:sz w:val="32"/>
          <w:szCs w:val="32"/>
        </w:rPr>
        <w:t>初次报价表</w:t>
      </w:r>
    </w:p>
    <w:p>
      <w:pPr>
        <w:snapToGrid w:val="0"/>
        <w:spacing w:before="50" w:after="50"/>
        <w:rPr>
          <w:rFonts w:ascii="宋体" w:hAnsi="宋体" w:cs="宋体"/>
          <w:sz w:val="24"/>
        </w:rPr>
      </w:pPr>
      <w:r>
        <w:rPr>
          <w:rFonts w:hint="eastAsia" w:ascii="宋体" w:hAnsi="宋体" w:cs="宋体"/>
          <w:sz w:val="24"/>
        </w:rPr>
        <w:t>谈判编号：</w:t>
      </w:r>
      <w:r>
        <w:rPr>
          <w:rFonts w:hint="eastAsia" w:ascii="宋体" w:hAnsi="宋体" w:cs="宋体"/>
          <w:sz w:val="24"/>
          <w:u w:val="single"/>
        </w:rPr>
        <w:t xml:space="preserve">               </w:t>
      </w:r>
      <w:r>
        <w:rPr>
          <w:rFonts w:hint="eastAsia" w:ascii="宋体" w:hAnsi="宋体" w:cs="宋体"/>
          <w:sz w:val="24"/>
        </w:rPr>
        <w:t>谈判响应方名称：</w:t>
      </w:r>
      <w:r>
        <w:rPr>
          <w:rFonts w:hint="eastAsia" w:ascii="宋体" w:hAnsi="宋体" w:cs="宋体"/>
          <w:sz w:val="24"/>
          <w:u w:val="single"/>
        </w:rPr>
        <w:t xml:space="preserve">                   </w:t>
      </w:r>
      <w:r>
        <w:rPr>
          <w:rFonts w:hint="eastAsia" w:ascii="宋体" w:hAnsi="宋体" w:cs="宋体"/>
          <w:sz w:val="24"/>
        </w:rPr>
        <w:t xml:space="preserve">  单位：万元</w:t>
      </w:r>
    </w:p>
    <w:p>
      <w:pPr>
        <w:pStyle w:val="20"/>
        <w:ind w:firstLine="0" w:firstLineChars="0"/>
      </w:pPr>
    </w:p>
    <w:p>
      <w:pPr>
        <w:pStyle w:val="42"/>
        <w:snapToGrid w:val="0"/>
        <w:spacing w:line="240" w:lineRule="auto"/>
        <w:jc w:val="center"/>
        <w:outlineLvl w:val="0"/>
        <w:rPr>
          <w:rFonts w:ascii="黑体" w:hAnsi="黑体" w:eastAsia="黑体"/>
          <w:color w:val="000000" w:themeColor="text1"/>
          <w:sz w:val="30"/>
          <w:szCs w:val="30"/>
          <w14:textFill>
            <w14:solidFill>
              <w14:schemeClr w14:val="tx1"/>
            </w14:solidFill>
          </w14:textFill>
        </w:rPr>
      </w:pPr>
    </w:p>
    <w:tbl>
      <w:tblPr>
        <w:tblStyle w:val="2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51"/>
        <w:gridCol w:w="4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1" w:hRule="atLeast"/>
        </w:trPr>
        <w:tc>
          <w:tcPr>
            <w:tcW w:w="49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00000"/>
                <w:sz w:val="24"/>
              </w:rPr>
            </w:pPr>
            <w:r>
              <w:rPr>
                <w:rFonts w:hint="eastAsia" w:ascii="宋体" w:hAnsi="宋体"/>
                <w:b/>
                <w:color w:val="000000"/>
                <w:sz w:val="24"/>
              </w:rPr>
              <w:t>项目名称</w:t>
            </w:r>
          </w:p>
        </w:tc>
        <w:tc>
          <w:tcPr>
            <w:tcW w:w="40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00000"/>
                <w:sz w:val="24"/>
              </w:rPr>
            </w:pPr>
            <w:r>
              <w:rPr>
                <w:rFonts w:hint="eastAsia" w:ascii="宋体" w:hAnsi="宋体"/>
                <w:b/>
                <w:sz w:val="24"/>
              </w:rPr>
              <w:t>谈判报</w:t>
            </w:r>
            <w:r>
              <w:rPr>
                <w:rFonts w:hint="eastAsia" w:ascii="宋体" w:hAnsi="宋体"/>
                <w:b/>
                <w:color w:val="000000"/>
                <w:sz w:val="24"/>
              </w:rPr>
              <w:t>价</w:t>
            </w:r>
          </w:p>
          <w:p>
            <w:pPr>
              <w:snapToGrid w:val="0"/>
              <w:spacing w:before="50" w:after="50"/>
              <w:jc w:val="center"/>
              <w:rPr>
                <w:rFonts w:ascii="宋体" w:hAnsi="宋体"/>
                <w:b/>
                <w:color w:val="000000"/>
                <w:sz w:val="24"/>
              </w:rPr>
            </w:pPr>
            <w:r>
              <w:rPr>
                <w:rFonts w:hint="eastAsia" w:ascii="宋体" w:hAnsi="宋体"/>
                <w:b/>
                <w:color w:val="000000"/>
                <w:sz w:val="24"/>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49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000000"/>
                <w:sz w:val="24"/>
                <w:lang w:eastAsia="zh-CN"/>
              </w:rPr>
            </w:pPr>
            <w:r>
              <w:rPr>
                <w:rFonts w:hint="eastAsia" w:cs="宋体"/>
                <w:b/>
                <w:bCs/>
                <w:color w:val="000000" w:themeColor="text1"/>
                <w:sz w:val="30"/>
                <w:szCs w:val="30"/>
                <w:lang w:eastAsia="zh-CN"/>
                <w14:textFill>
                  <w14:solidFill>
                    <w14:schemeClr w14:val="tx1"/>
                  </w14:solidFill>
                </w14:textFill>
              </w:rPr>
              <w:t>高校智能服务终端（含嵌入式智能服务软件V8.0）</w:t>
            </w:r>
          </w:p>
        </w:tc>
        <w:tc>
          <w:tcPr>
            <w:tcW w:w="40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00000"/>
                <w:sz w:val="24"/>
              </w:rPr>
            </w:pPr>
          </w:p>
        </w:tc>
      </w:tr>
    </w:tbl>
    <w:p>
      <w:pPr>
        <w:snapToGrid w:val="0"/>
        <w:spacing w:before="50" w:after="50"/>
        <w:rPr>
          <w:rFonts w:ascii="宋体" w:hAnsi="宋体"/>
          <w:color w:val="000000"/>
          <w:sz w:val="24"/>
          <w:szCs w:val="20"/>
        </w:rPr>
      </w:pPr>
    </w:p>
    <w:p>
      <w:pPr>
        <w:snapToGrid w:val="0"/>
        <w:spacing w:before="50" w:after="50" w:line="360" w:lineRule="auto"/>
        <w:jc w:val="left"/>
        <w:rPr>
          <w:rFonts w:ascii="宋体" w:hAnsi="宋体" w:cs="宋体"/>
          <w:sz w:val="24"/>
        </w:rPr>
      </w:pPr>
      <w:r>
        <w:rPr>
          <w:rFonts w:hint="eastAsia" w:ascii="宋体" w:hAnsi="宋体" w:cs="宋体"/>
          <w:sz w:val="24"/>
        </w:rPr>
        <w:t xml:space="preserve">注: </w:t>
      </w:r>
    </w:p>
    <w:p>
      <w:pPr>
        <w:snapToGrid w:val="0"/>
        <w:spacing w:before="50" w:after="50" w:line="360" w:lineRule="auto"/>
        <w:jc w:val="left"/>
        <w:rPr>
          <w:rFonts w:ascii="宋体" w:hAnsi="宋体" w:cs="宋体"/>
          <w:color w:val="C00000"/>
          <w:sz w:val="24"/>
          <w:szCs w:val="20"/>
        </w:rPr>
      </w:pPr>
      <w:r>
        <w:rPr>
          <w:rFonts w:hint="eastAsia" w:ascii="宋体" w:hAnsi="宋体" w:cs="宋体"/>
          <w:color w:val="C00000"/>
          <w:sz w:val="24"/>
        </w:rPr>
        <w:t>1、报价一经涂改，应在涂改处加盖单位公章或者由法定代表人或授权委托人签字或盖章，否则其谈判作无效谈判处理。</w:t>
      </w:r>
    </w:p>
    <w:p>
      <w:pPr>
        <w:spacing w:line="360" w:lineRule="auto"/>
        <w:rPr>
          <w:rFonts w:ascii="宋体" w:hAnsi="宋体" w:cs="宋体"/>
          <w:color w:val="C00000"/>
          <w:sz w:val="24"/>
        </w:rPr>
      </w:pPr>
      <w:r>
        <w:rPr>
          <w:rFonts w:hint="eastAsia" w:ascii="宋体" w:hAnsi="宋体" w:cs="宋体"/>
          <w:color w:val="C00000"/>
          <w:sz w:val="24"/>
        </w:rPr>
        <w:t>2、谈判报价是履行合同的最终价格，应包含完成本项目合同内容所涉及的全部费用，包含但不仅限于所需软件的设计、开发、优化、安装、平台对接、上线调试、试运行管理、技术培训、验收配合、第三方检测（如需）、售后服务以及完成采购需求所涉及的其他一切内容所需的全部费用，以及税金、人工费、管理费、合理利润、风险费、投标费用等一切成本及费用。</w:t>
      </w:r>
    </w:p>
    <w:p>
      <w:pPr>
        <w:snapToGrid w:val="0"/>
        <w:spacing w:before="50" w:after="50" w:line="360" w:lineRule="auto"/>
        <w:ind w:right="-817" w:rightChars="-389"/>
        <w:rPr>
          <w:rFonts w:ascii="宋体" w:hAnsi="宋体" w:cs="宋体"/>
          <w:color w:val="C00000"/>
          <w:sz w:val="24"/>
        </w:rPr>
      </w:pPr>
      <w:r>
        <w:rPr>
          <w:rFonts w:ascii="宋体" w:hAnsi="宋体" w:cs="宋体"/>
          <w:color w:val="C00000"/>
          <w:sz w:val="24"/>
        </w:rPr>
        <w:t>3</w:t>
      </w:r>
      <w:r>
        <w:rPr>
          <w:rFonts w:hint="eastAsia" w:ascii="宋体" w:hAnsi="宋体" w:cs="宋体"/>
          <w:color w:val="C00000"/>
          <w:sz w:val="24"/>
        </w:rPr>
        <w:t>、本表格式不允许修改，否则作无效谈判处理。</w:t>
      </w:r>
    </w:p>
    <w:p>
      <w:pPr>
        <w:snapToGrid w:val="0"/>
        <w:spacing w:before="50" w:after="50" w:line="360" w:lineRule="auto"/>
        <w:ind w:left="-3" w:leftChars="-72" w:right="-817" w:rightChars="-389" w:hanging="148" w:hangingChars="62"/>
        <w:rPr>
          <w:rFonts w:ascii="宋体" w:hAnsi="宋体" w:cs="宋体"/>
          <w:color w:val="C00000"/>
          <w:sz w:val="24"/>
        </w:rPr>
      </w:pPr>
      <w:r>
        <w:rPr>
          <w:rFonts w:hint="eastAsia" w:ascii="宋体" w:hAnsi="宋体" w:cs="宋体"/>
          <w:color w:val="C00000"/>
          <w:sz w:val="24"/>
        </w:rPr>
        <w:t xml:space="preserve"> </w:t>
      </w:r>
    </w:p>
    <w:p>
      <w:pPr>
        <w:snapToGrid w:val="0"/>
        <w:spacing w:before="50" w:after="50" w:line="360" w:lineRule="auto"/>
        <w:ind w:left="-3" w:leftChars="-15" w:right="-817" w:rightChars="-389" w:hanging="28" w:hangingChars="12"/>
        <w:rPr>
          <w:rFonts w:ascii="宋体" w:hAnsi="宋体" w:cs="宋体"/>
          <w:sz w:val="24"/>
        </w:rPr>
      </w:pPr>
      <w:r>
        <w:rPr>
          <w:rFonts w:hint="eastAsia" w:ascii="宋体" w:hAnsi="宋体" w:cs="宋体"/>
          <w:sz w:val="24"/>
        </w:rPr>
        <w:t>法定代表人或委托代理人（签字或盖章）：</w:t>
      </w:r>
    </w:p>
    <w:p>
      <w:pPr>
        <w:snapToGrid w:val="0"/>
        <w:spacing w:before="50" w:after="50" w:line="360" w:lineRule="auto"/>
        <w:ind w:left="-3" w:leftChars="-72" w:right="-817" w:rightChars="-389" w:hanging="148" w:hangingChars="62"/>
        <w:rPr>
          <w:rFonts w:ascii="宋体" w:hAnsi="宋体" w:cs="宋体"/>
          <w:sz w:val="24"/>
          <w:szCs w:val="20"/>
        </w:rPr>
      </w:pPr>
      <w:r>
        <w:rPr>
          <w:rFonts w:hint="eastAsia" w:ascii="宋体" w:hAnsi="宋体" w:cs="宋体"/>
          <w:sz w:val="24"/>
        </w:rPr>
        <w:t xml:space="preserve"> </w:t>
      </w:r>
    </w:p>
    <w:p>
      <w:pPr>
        <w:snapToGrid w:val="0"/>
        <w:spacing w:before="50" w:after="50" w:line="360" w:lineRule="auto"/>
        <w:ind w:left="-3" w:leftChars="-15" w:right="-817" w:rightChars="-389" w:hanging="28" w:hangingChars="12"/>
        <w:rPr>
          <w:rFonts w:ascii="宋体" w:hAnsi="宋体" w:cs="宋体"/>
          <w:sz w:val="24"/>
        </w:rPr>
      </w:pPr>
      <w:r>
        <w:rPr>
          <w:rFonts w:hint="eastAsia" w:ascii="宋体" w:hAnsi="宋体" w:cs="宋体"/>
          <w:sz w:val="24"/>
        </w:rPr>
        <w:t xml:space="preserve">谈判响应方名称（盖章）：  </w:t>
      </w:r>
    </w:p>
    <w:p>
      <w:pPr>
        <w:snapToGrid w:val="0"/>
        <w:spacing w:before="50" w:after="50" w:line="360" w:lineRule="auto"/>
        <w:ind w:left="-3" w:leftChars="-15" w:right="-817" w:rightChars="-389" w:hanging="28" w:hangingChars="12"/>
        <w:rPr>
          <w:rFonts w:ascii="宋体" w:hAnsi="宋体" w:cs="宋体"/>
          <w:sz w:val="24"/>
        </w:rPr>
      </w:pPr>
      <w:r>
        <w:rPr>
          <w:rFonts w:hint="eastAsia" w:ascii="宋体" w:hAnsi="宋体" w:cs="宋体"/>
          <w:sz w:val="24"/>
        </w:rPr>
        <w:t xml:space="preserve">                                        </w:t>
      </w:r>
    </w:p>
    <w:p>
      <w:pPr>
        <w:snapToGrid w:val="0"/>
        <w:spacing w:before="50" w:after="50"/>
        <w:ind w:left="-2" w:leftChars="-1" w:right="-817" w:rightChars="-389" w:firstLine="4920" w:firstLineChars="2050"/>
        <w:rPr>
          <w:rFonts w:ascii="宋体" w:hAnsi="宋体" w:cs="宋体"/>
          <w:sz w:val="24"/>
        </w:rPr>
      </w:pPr>
    </w:p>
    <w:p>
      <w:pPr>
        <w:snapToGrid w:val="0"/>
        <w:spacing w:before="50" w:after="50"/>
        <w:ind w:left="-2" w:leftChars="-1" w:right="-817" w:rightChars="-389" w:firstLine="4920" w:firstLineChars="2050"/>
        <w:rPr>
          <w:rFonts w:ascii="宋体" w:hAnsi="宋体" w:cs="宋体"/>
          <w:sz w:val="24"/>
        </w:rPr>
      </w:pPr>
      <w:r>
        <w:rPr>
          <w:rFonts w:hint="eastAsia" w:ascii="宋体" w:hAnsi="宋体" w:cs="宋体"/>
          <w:sz w:val="24"/>
        </w:rPr>
        <w:t>日期：    年   月   日</w:t>
      </w:r>
    </w:p>
    <w:p>
      <w:pPr>
        <w:pStyle w:val="5"/>
        <w:rPr>
          <w:rFonts w:ascii="宋体" w:hAnsi="宋体" w:cs="宋体"/>
          <w:sz w:val="24"/>
        </w:rPr>
      </w:pPr>
    </w:p>
    <w:p>
      <w:pPr>
        <w:pageBreakBefore/>
        <w:spacing w:before="260" w:after="260" w:line="415" w:lineRule="auto"/>
        <w:outlineLvl w:val="1"/>
        <w:rPr>
          <w:rFonts w:ascii="宋体" w:hAnsi="宋体" w:cs="宋体"/>
          <w:bCs/>
          <w:sz w:val="24"/>
          <w:szCs w:val="32"/>
        </w:rPr>
      </w:pPr>
      <w:bookmarkStart w:id="29" w:name="_Toc25687"/>
      <w:bookmarkStart w:id="30" w:name="_Toc2511"/>
      <w:r>
        <w:rPr>
          <w:rFonts w:hint="eastAsia" w:ascii="宋体" w:hAnsi="宋体" w:cs="宋体"/>
          <w:bCs/>
          <w:sz w:val="24"/>
          <w:szCs w:val="32"/>
        </w:rPr>
        <w:t>附件三：法定代表人授权书</w:t>
      </w:r>
      <w:bookmarkEnd w:id="29"/>
      <w:bookmarkEnd w:id="30"/>
    </w:p>
    <w:p>
      <w:pPr>
        <w:jc w:val="center"/>
        <w:rPr>
          <w:rFonts w:ascii="宋体" w:hAnsi="宋体" w:cs="宋体"/>
          <w:b/>
          <w:bCs/>
          <w:sz w:val="36"/>
          <w:szCs w:val="36"/>
        </w:rPr>
      </w:pPr>
      <w:r>
        <w:rPr>
          <w:rFonts w:hint="eastAsia" w:ascii="宋体" w:hAnsi="宋体" w:cs="宋体"/>
          <w:b/>
          <w:bCs/>
          <w:sz w:val="36"/>
          <w:szCs w:val="36"/>
        </w:rPr>
        <w:t>法定代表人授权书</w:t>
      </w:r>
    </w:p>
    <w:p>
      <w:pPr>
        <w:snapToGrid w:val="0"/>
        <w:spacing w:before="156" w:beforeLines="50" w:after="50"/>
        <w:rPr>
          <w:rFonts w:ascii="宋体" w:hAnsi="宋体" w:cs="宋体"/>
          <w:b/>
          <w:bCs/>
          <w:sz w:val="24"/>
          <w:szCs w:val="20"/>
        </w:rPr>
      </w:pPr>
      <w:r>
        <w:rPr>
          <w:rFonts w:hint="eastAsia" w:ascii="宋体" w:hAnsi="宋体" w:cs="宋体"/>
          <w:bCs/>
          <w:sz w:val="24"/>
        </w:rPr>
        <w:t>致：</w:t>
      </w:r>
      <w:r>
        <w:rPr>
          <w:rFonts w:hint="eastAsia" w:ascii="宋体" w:hAnsi="宋体" w:cs="宋体"/>
          <w:bCs/>
          <w:sz w:val="24"/>
          <w:u w:val="single"/>
        </w:rPr>
        <w:t xml:space="preserve">                  </w:t>
      </w:r>
      <w:r>
        <w:rPr>
          <w:rFonts w:hint="eastAsia" w:ascii="宋体" w:hAnsi="宋体" w:cs="宋体"/>
          <w:sz w:val="24"/>
        </w:rPr>
        <w:t>（招标采购单位名称）：</w:t>
      </w:r>
    </w:p>
    <w:p>
      <w:pPr>
        <w:snapToGrid w:val="0"/>
        <w:spacing w:before="156" w:beforeLines="50" w:after="50"/>
        <w:ind w:firstLine="720" w:firstLineChars="300"/>
        <w:rPr>
          <w:rFonts w:ascii="宋体" w:hAnsi="宋体" w:cs="宋体"/>
          <w:sz w:val="24"/>
          <w:szCs w:val="20"/>
        </w:rPr>
      </w:pPr>
      <w:r>
        <w:rPr>
          <w:rFonts w:hint="eastAsia" w:ascii="宋体" w:hAnsi="宋体" w:cs="宋体"/>
          <w:sz w:val="24"/>
        </w:rPr>
        <w:t>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 xml:space="preserve">（谈判响应方名称）的法定代表人，现授权委托本单位在职职工 </w:t>
      </w:r>
      <w:r>
        <w:rPr>
          <w:rFonts w:hint="eastAsia" w:ascii="宋体" w:hAnsi="宋体" w:cs="宋体"/>
          <w:sz w:val="24"/>
          <w:u w:val="single"/>
        </w:rPr>
        <w:t xml:space="preserve">              </w:t>
      </w:r>
      <w:r>
        <w:rPr>
          <w:rFonts w:hint="eastAsia" w:ascii="宋体" w:hAnsi="宋体" w:cs="宋体"/>
          <w:sz w:val="24"/>
        </w:rPr>
        <w:t>（姓名）以我方的名义参加项目的投标活动，并代表我方全权办理针对上述项目的投标、开标、评标、签约等具体事务和签署相关文件。</w:t>
      </w:r>
    </w:p>
    <w:p>
      <w:pPr>
        <w:snapToGrid w:val="0"/>
        <w:spacing w:before="156" w:beforeLines="50" w:after="50"/>
        <w:rPr>
          <w:rFonts w:ascii="宋体" w:hAnsi="宋体" w:cs="宋体"/>
          <w:sz w:val="24"/>
          <w:szCs w:val="20"/>
        </w:rPr>
      </w:pPr>
      <w:r>
        <w:rPr>
          <w:rFonts w:hint="eastAsia" w:ascii="宋体" w:hAnsi="宋体" w:cs="宋体"/>
          <w:sz w:val="24"/>
        </w:rPr>
        <w:t xml:space="preserve">    我方对委托代理人的签名事项负全部责任。</w:t>
      </w:r>
    </w:p>
    <w:p>
      <w:pPr>
        <w:snapToGrid w:val="0"/>
        <w:spacing w:before="156" w:beforeLines="50" w:after="50"/>
        <w:ind w:firstLine="480"/>
        <w:rPr>
          <w:rFonts w:ascii="宋体" w:hAnsi="宋体" w:cs="宋体"/>
          <w:sz w:val="24"/>
          <w:szCs w:val="20"/>
        </w:rPr>
      </w:pPr>
      <w:r>
        <w:rPr>
          <w:rFonts w:hint="eastAsia" w:ascii="宋体" w:hAnsi="宋体" w:cs="宋体"/>
          <w:sz w:val="24"/>
          <w:u w:val="single"/>
        </w:rPr>
        <w:t>在撤销授权的书面通知以前，本授权书一直有效。</w:t>
      </w:r>
      <w:r>
        <w:rPr>
          <w:rFonts w:hint="eastAsia" w:ascii="宋体" w:hAnsi="宋体" w:cs="宋体"/>
          <w:sz w:val="24"/>
        </w:rPr>
        <w:t>委托代理人在授权书有效期内签署的所有文件不因授权的撤销而失效。</w:t>
      </w:r>
    </w:p>
    <w:p>
      <w:pPr>
        <w:snapToGrid w:val="0"/>
        <w:spacing w:before="156" w:beforeLines="50" w:after="50"/>
        <w:ind w:firstLine="480"/>
        <w:rPr>
          <w:rFonts w:ascii="宋体" w:hAnsi="宋体" w:cs="宋体"/>
          <w:sz w:val="24"/>
          <w:szCs w:val="20"/>
        </w:rPr>
      </w:pPr>
      <w:r>
        <w:rPr>
          <w:rFonts w:hint="eastAsia" w:ascii="宋体" w:hAnsi="宋体" w:cs="宋体"/>
          <w:sz w:val="24"/>
        </w:rPr>
        <w:t>委托代理人无转委托权，特此委托。</w:t>
      </w:r>
    </w:p>
    <w:p>
      <w:pPr>
        <w:snapToGrid w:val="0"/>
        <w:spacing w:before="156" w:beforeLines="50" w:after="50"/>
        <w:rPr>
          <w:rFonts w:ascii="宋体" w:hAnsi="宋体" w:cs="宋体"/>
          <w:sz w:val="24"/>
          <w:szCs w:val="20"/>
          <w:u w:val="single"/>
        </w:rPr>
      </w:pPr>
      <w:r>
        <w:rPr>
          <w:rFonts w:hint="eastAsia" w:ascii="宋体" w:hAnsi="宋体" w:cs="宋体"/>
          <w:sz w:val="24"/>
        </w:rPr>
        <w:t>委托代理人签名：</w:t>
      </w:r>
      <w:r>
        <w:rPr>
          <w:rFonts w:hint="eastAsia" w:ascii="宋体" w:hAnsi="宋体" w:cs="宋体"/>
          <w:sz w:val="24"/>
          <w:u w:val="single"/>
        </w:rPr>
        <w:t xml:space="preserve">          </w:t>
      </w:r>
      <w:r>
        <w:rPr>
          <w:rFonts w:hint="eastAsia" w:ascii="宋体" w:hAnsi="宋体" w:cs="宋体"/>
          <w:sz w:val="24"/>
        </w:rPr>
        <w:t xml:space="preserve">                 法定代表人（签字或盖章）：</w:t>
      </w:r>
      <w:r>
        <w:rPr>
          <w:rFonts w:hint="eastAsia" w:ascii="宋体" w:hAnsi="宋体" w:cs="宋体"/>
          <w:sz w:val="24"/>
          <w:u w:val="single"/>
        </w:rPr>
        <w:t xml:space="preserve">          </w:t>
      </w:r>
    </w:p>
    <w:p>
      <w:pPr>
        <w:snapToGrid w:val="0"/>
        <w:spacing w:before="156" w:beforeLines="50" w:after="50"/>
        <w:ind w:firstLine="960" w:firstLineChars="400"/>
        <w:rPr>
          <w:rFonts w:ascii="宋体" w:hAnsi="宋体" w:cs="宋体"/>
          <w:sz w:val="24"/>
          <w:szCs w:val="20"/>
        </w:rPr>
      </w:pPr>
      <w:r>
        <w:rPr>
          <w:rFonts w:hint="eastAsia" w:ascii="宋体" w:hAnsi="宋体" w:cs="宋体"/>
          <w:sz w:val="24"/>
        </w:rPr>
        <w:t>职务：</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p>
    <w:p>
      <w:pPr>
        <w:snapToGrid w:val="0"/>
        <w:spacing w:before="156" w:beforeLines="50" w:after="50"/>
        <w:rPr>
          <w:rFonts w:ascii="宋体" w:hAnsi="宋体" w:cs="宋体"/>
          <w:sz w:val="24"/>
        </w:rPr>
      </w:pPr>
      <w:r>
        <w:rPr>
          <w:rFonts w:hint="eastAsia" w:ascii="宋体" w:hAnsi="宋体" w:cs="宋体"/>
          <w:sz w:val="24"/>
        </w:rPr>
        <w:t>委托代理人身份证复印件（正反双面）：</w:t>
      </w:r>
    </w:p>
    <w:tbl>
      <w:tblPr>
        <w:tblStyle w:val="21"/>
        <w:tblpPr w:leftFromText="180" w:rightFromText="180" w:vertAnchor="text" w:tblpX="109" w:tblpY="15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298"/>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345" w:hRule="atLeast"/>
        </w:trPr>
        <w:tc>
          <w:tcPr>
            <w:tcW w:w="5298" w:type="dxa"/>
          </w:tcPr>
          <w:p>
            <w:pPr>
              <w:snapToGrid w:val="0"/>
              <w:spacing w:before="156" w:beforeLines="50" w:after="50"/>
              <w:rPr>
                <w:rFonts w:ascii="宋体" w:hAnsi="宋体" w:cs="宋体"/>
                <w:sz w:val="24"/>
              </w:rPr>
            </w:pPr>
          </w:p>
          <w:p>
            <w:pPr>
              <w:snapToGrid w:val="0"/>
              <w:spacing w:before="156" w:beforeLines="50" w:after="50"/>
              <w:rPr>
                <w:rFonts w:ascii="宋体" w:hAnsi="宋体" w:cs="宋体"/>
                <w:sz w:val="24"/>
              </w:rPr>
            </w:pPr>
          </w:p>
          <w:p>
            <w:pPr>
              <w:snapToGrid w:val="0"/>
              <w:spacing w:before="156" w:beforeLines="50" w:after="50"/>
              <w:rPr>
                <w:rFonts w:ascii="宋体" w:hAnsi="宋体" w:cs="宋体"/>
                <w:sz w:val="24"/>
              </w:rPr>
            </w:pPr>
          </w:p>
          <w:p>
            <w:pPr>
              <w:snapToGrid w:val="0"/>
              <w:spacing w:before="156" w:beforeLines="50" w:after="50"/>
              <w:jc w:val="center"/>
              <w:rPr>
                <w:rFonts w:ascii="宋体" w:hAnsi="宋体" w:cs="宋体"/>
                <w:sz w:val="48"/>
                <w:szCs w:val="48"/>
              </w:rPr>
            </w:pPr>
            <w:r>
              <w:rPr>
                <w:rFonts w:hint="eastAsia" w:ascii="宋体" w:hAnsi="宋体" w:cs="宋体"/>
                <w:sz w:val="48"/>
                <w:szCs w:val="48"/>
              </w:rPr>
              <w:t>粘</w:t>
            </w:r>
          </w:p>
          <w:p>
            <w:pPr>
              <w:snapToGrid w:val="0"/>
              <w:spacing w:before="156" w:beforeLines="50" w:after="50"/>
              <w:jc w:val="center"/>
              <w:rPr>
                <w:rFonts w:ascii="宋体" w:hAnsi="宋体" w:cs="宋体"/>
                <w:sz w:val="48"/>
                <w:szCs w:val="48"/>
              </w:rPr>
            </w:pPr>
          </w:p>
          <w:p>
            <w:pPr>
              <w:snapToGrid w:val="0"/>
              <w:spacing w:before="156" w:beforeLines="50" w:after="50"/>
              <w:jc w:val="center"/>
              <w:rPr>
                <w:rFonts w:ascii="宋体" w:hAnsi="宋体" w:cs="宋体"/>
                <w:sz w:val="48"/>
                <w:szCs w:val="48"/>
              </w:rPr>
            </w:pPr>
            <w:r>
              <w:rPr>
                <w:rFonts w:hint="eastAsia" w:ascii="宋体" w:hAnsi="宋体" w:cs="宋体"/>
                <w:sz w:val="48"/>
                <w:szCs w:val="48"/>
              </w:rPr>
              <w:t>贴</w:t>
            </w:r>
          </w:p>
          <w:p>
            <w:pPr>
              <w:snapToGrid w:val="0"/>
              <w:spacing w:before="156" w:beforeLines="50" w:after="50"/>
              <w:jc w:val="center"/>
              <w:rPr>
                <w:rFonts w:ascii="宋体" w:hAnsi="宋体" w:cs="宋体"/>
                <w:sz w:val="48"/>
                <w:szCs w:val="48"/>
              </w:rPr>
            </w:pPr>
          </w:p>
          <w:p>
            <w:pPr>
              <w:snapToGrid w:val="0"/>
              <w:spacing w:before="156" w:beforeLines="50" w:after="50"/>
              <w:jc w:val="center"/>
              <w:rPr>
                <w:rFonts w:ascii="宋体" w:hAnsi="宋体" w:cs="宋体"/>
                <w:sz w:val="36"/>
                <w:szCs w:val="36"/>
              </w:rPr>
            </w:pPr>
            <w:r>
              <w:rPr>
                <w:rFonts w:hint="eastAsia" w:ascii="宋体" w:hAnsi="宋体" w:cs="宋体"/>
                <w:sz w:val="48"/>
                <w:szCs w:val="48"/>
              </w:rPr>
              <w:t>处</w:t>
            </w:r>
          </w:p>
        </w:tc>
      </w:tr>
    </w:tbl>
    <w:p>
      <w:pPr>
        <w:snapToGrid w:val="0"/>
        <w:spacing w:before="156" w:beforeLines="50" w:after="50"/>
        <w:rPr>
          <w:rFonts w:ascii="宋体" w:hAnsi="宋体" w:cs="宋体"/>
          <w:sz w:val="24"/>
        </w:rPr>
      </w:pPr>
    </w:p>
    <w:p>
      <w:pPr>
        <w:snapToGrid w:val="0"/>
        <w:spacing w:before="156" w:beforeLines="50" w:after="50"/>
        <w:rPr>
          <w:rFonts w:ascii="宋体" w:hAnsi="宋体" w:cs="宋体"/>
          <w:sz w:val="24"/>
        </w:rPr>
      </w:pPr>
    </w:p>
    <w:p>
      <w:pPr>
        <w:snapToGrid w:val="0"/>
        <w:spacing w:before="156" w:beforeLines="50" w:after="50"/>
        <w:rPr>
          <w:rFonts w:ascii="宋体" w:hAnsi="宋体" w:cs="宋体"/>
          <w:sz w:val="24"/>
        </w:rPr>
      </w:pPr>
      <w:r>
        <w:rPr>
          <w:rFonts w:hint="eastAsia" w:ascii="宋体" w:hAnsi="宋体" w:cs="宋体"/>
          <w:sz w:val="24"/>
        </w:rPr>
        <w:t xml:space="preserve"> </w:t>
      </w:r>
    </w:p>
    <w:p>
      <w:pPr>
        <w:snapToGrid w:val="0"/>
        <w:spacing w:before="156" w:beforeLines="50" w:after="50"/>
        <w:rPr>
          <w:rFonts w:ascii="宋体" w:hAnsi="宋体" w:cs="宋体"/>
          <w:sz w:val="24"/>
          <w:szCs w:val="20"/>
        </w:rPr>
      </w:pPr>
    </w:p>
    <w:p>
      <w:pPr>
        <w:snapToGrid w:val="0"/>
        <w:spacing w:before="156" w:beforeLines="50" w:after="50"/>
        <w:rPr>
          <w:rFonts w:ascii="宋体" w:hAnsi="宋体" w:cs="宋体"/>
          <w:sz w:val="24"/>
        </w:rPr>
      </w:pPr>
      <w:r>
        <w:rPr>
          <w:rFonts w:hint="eastAsia" w:ascii="宋体" w:hAnsi="宋体" w:cs="宋体"/>
          <w:sz w:val="24"/>
        </w:rPr>
        <w:t xml:space="preserve">                                                </w:t>
      </w:r>
    </w:p>
    <w:p>
      <w:pPr>
        <w:snapToGrid w:val="0"/>
        <w:spacing w:before="156" w:beforeLines="50" w:after="50"/>
        <w:rPr>
          <w:rFonts w:ascii="宋体" w:hAnsi="宋体" w:cs="宋体"/>
          <w:sz w:val="24"/>
        </w:rPr>
      </w:pPr>
    </w:p>
    <w:p>
      <w:pPr>
        <w:snapToGrid w:val="0"/>
        <w:spacing w:before="156" w:beforeLines="50" w:after="50"/>
        <w:rPr>
          <w:rFonts w:ascii="宋体" w:hAnsi="宋体" w:cs="宋体"/>
          <w:sz w:val="24"/>
        </w:rPr>
      </w:pPr>
    </w:p>
    <w:p>
      <w:pPr>
        <w:snapToGrid w:val="0"/>
        <w:spacing w:before="156" w:beforeLines="50" w:after="50"/>
        <w:rPr>
          <w:rFonts w:ascii="宋体" w:hAnsi="宋体" w:cs="宋体"/>
          <w:sz w:val="24"/>
        </w:rPr>
      </w:pPr>
    </w:p>
    <w:p>
      <w:pPr>
        <w:snapToGrid w:val="0"/>
        <w:spacing w:before="156" w:beforeLines="50" w:after="50"/>
        <w:rPr>
          <w:rFonts w:ascii="宋体" w:hAnsi="宋体" w:cs="宋体"/>
          <w:sz w:val="24"/>
        </w:rPr>
      </w:pPr>
    </w:p>
    <w:p>
      <w:pPr>
        <w:snapToGrid w:val="0"/>
        <w:spacing w:before="156" w:beforeLines="50" w:after="50"/>
        <w:rPr>
          <w:rFonts w:ascii="宋体" w:hAnsi="宋体" w:cs="宋体"/>
          <w:sz w:val="24"/>
        </w:rPr>
      </w:pPr>
    </w:p>
    <w:p>
      <w:pPr>
        <w:snapToGrid w:val="0"/>
        <w:spacing w:before="156" w:beforeLines="50" w:after="50"/>
        <w:ind w:firstLine="600" w:firstLineChars="250"/>
        <w:rPr>
          <w:rFonts w:ascii="宋体" w:hAnsi="宋体" w:cs="宋体"/>
          <w:sz w:val="24"/>
          <w:szCs w:val="20"/>
        </w:rPr>
      </w:pPr>
      <w:r>
        <w:rPr>
          <w:rFonts w:hint="eastAsia" w:ascii="宋体" w:hAnsi="宋体" w:cs="宋体"/>
          <w:sz w:val="24"/>
        </w:rPr>
        <w:t>谈判响应方公章：</w:t>
      </w:r>
    </w:p>
    <w:p>
      <w:pPr>
        <w:snapToGrid w:val="0"/>
        <w:spacing w:before="156" w:beforeLines="50" w:after="50"/>
        <w:jc w:val="center"/>
        <w:rPr>
          <w:rFonts w:ascii="宋体" w:hAnsi="宋体" w:cs="宋体"/>
          <w:sz w:val="24"/>
          <w:szCs w:val="20"/>
        </w:rPr>
      </w:pPr>
      <w:r>
        <w:rPr>
          <w:rFonts w:hint="eastAsia" w:ascii="宋体" w:hAnsi="宋体" w:cs="宋体"/>
          <w:sz w:val="24"/>
        </w:rPr>
        <w:t xml:space="preserve">                                                年    月    日</w:t>
      </w:r>
    </w:p>
    <w:p>
      <w:pPr>
        <w:snapToGrid w:val="0"/>
        <w:spacing w:before="156" w:beforeLines="50" w:after="50"/>
        <w:rPr>
          <w:rFonts w:ascii="宋体" w:hAnsi="宋体" w:cs="宋体"/>
          <w:sz w:val="24"/>
        </w:rPr>
      </w:pPr>
    </w:p>
    <w:p>
      <w:pPr>
        <w:snapToGrid w:val="0"/>
        <w:spacing w:before="156" w:beforeLines="50" w:after="50"/>
        <w:rPr>
          <w:rFonts w:ascii="宋体" w:hAnsi="宋体" w:cs="宋体"/>
          <w:sz w:val="24"/>
        </w:rPr>
      </w:pPr>
    </w:p>
    <w:p>
      <w:pPr>
        <w:rPr>
          <w:rFonts w:ascii="宋体" w:hAnsi="宋体" w:cs="宋体"/>
          <w:b/>
          <w:sz w:val="24"/>
        </w:rPr>
      </w:pPr>
      <w:r>
        <w:rPr>
          <w:rFonts w:hint="eastAsia" w:ascii="宋体" w:hAnsi="宋体" w:cs="宋体"/>
          <w:b/>
          <w:sz w:val="24"/>
        </w:rPr>
        <w:t>*注；此表格格式不得修改。</w:t>
      </w:r>
    </w:p>
    <w:p>
      <w:pPr>
        <w:pStyle w:val="5"/>
        <w:rPr>
          <w:rFonts w:ascii="宋体" w:hAnsi="宋体" w:cs="宋体"/>
          <w:b/>
          <w:sz w:val="24"/>
        </w:rPr>
      </w:pPr>
    </w:p>
    <w:p>
      <w:pPr>
        <w:pageBreakBefore/>
        <w:overflowPunct w:val="0"/>
        <w:autoSpaceDE w:val="0"/>
        <w:autoSpaceDN w:val="0"/>
        <w:adjustRightInd w:val="0"/>
        <w:jc w:val="left"/>
        <w:textAlignment w:val="baseline"/>
        <w:outlineLvl w:val="1"/>
        <w:rPr>
          <w:rFonts w:ascii="宋体" w:hAnsi="宋体" w:cs="宋体"/>
          <w:bCs/>
          <w:kern w:val="0"/>
          <w:sz w:val="24"/>
          <w:szCs w:val="21"/>
        </w:rPr>
      </w:pPr>
      <w:bookmarkStart w:id="31" w:name="_Toc8594"/>
      <w:bookmarkStart w:id="32" w:name="_Toc13816"/>
      <w:bookmarkStart w:id="33" w:name="_Toc23478"/>
      <w:r>
        <w:rPr>
          <w:rFonts w:hint="eastAsia" w:ascii="宋体" w:hAnsi="宋体" w:cs="宋体"/>
          <w:bCs/>
          <w:kern w:val="0"/>
          <w:sz w:val="24"/>
          <w:szCs w:val="21"/>
        </w:rPr>
        <w:t>附件四：</w:t>
      </w:r>
      <w:bookmarkEnd w:id="31"/>
      <w:r>
        <w:rPr>
          <w:rFonts w:hint="eastAsia" w:ascii="宋体" w:hAnsi="宋体" w:cs="宋体"/>
          <w:bCs/>
          <w:kern w:val="0"/>
          <w:sz w:val="24"/>
          <w:szCs w:val="21"/>
        </w:rPr>
        <w:t>诚信承诺书</w:t>
      </w:r>
      <w:bookmarkEnd w:id="32"/>
      <w:bookmarkEnd w:id="33"/>
    </w:p>
    <w:p>
      <w:pPr>
        <w:jc w:val="center"/>
        <w:rPr>
          <w:rFonts w:ascii="宋体" w:hAnsi="宋体" w:cs="宋体"/>
          <w:b/>
          <w:bCs/>
          <w:sz w:val="44"/>
          <w:szCs w:val="44"/>
        </w:rPr>
      </w:pPr>
    </w:p>
    <w:p>
      <w:pPr>
        <w:snapToGrid w:val="0"/>
        <w:spacing w:before="50" w:after="50" w:line="360" w:lineRule="auto"/>
        <w:jc w:val="center"/>
        <w:rPr>
          <w:rFonts w:ascii="宋体" w:hAnsi="宋体"/>
          <w:b/>
          <w:sz w:val="32"/>
          <w:szCs w:val="28"/>
        </w:rPr>
      </w:pPr>
      <w:r>
        <w:rPr>
          <w:rFonts w:hint="eastAsia" w:ascii="宋体" w:hAnsi="宋体"/>
          <w:b/>
          <w:sz w:val="32"/>
          <w:szCs w:val="28"/>
        </w:rPr>
        <w:t>诚信承诺书</w:t>
      </w:r>
    </w:p>
    <w:p>
      <w:pPr>
        <w:spacing w:line="360" w:lineRule="auto"/>
        <w:jc w:val="center"/>
        <w:rPr>
          <w:rFonts w:ascii="宋体" w:hAnsi="宋体"/>
          <w:sz w:val="28"/>
          <w:szCs w:val="28"/>
        </w:rPr>
      </w:pPr>
    </w:p>
    <w:p>
      <w:pPr>
        <w:spacing w:line="360" w:lineRule="auto"/>
        <w:rPr>
          <w:rFonts w:ascii="宋体" w:hAnsi="宋体"/>
          <w:sz w:val="24"/>
        </w:rPr>
      </w:pPr>
      <w:r>
        <w:rPr>
          <w:rFonts w:hint="eastAsia" w:ascii="宋体" w:hAnsi="宋体"/>
          <w:sz w:val="24"/>
          <w:u w:val="single"/>
        </w:rPr>
        <w:t xml:space="preserve">浙江广厦建设职业技术大学  </w:t>
      </w:r>
      <w:r>
        <w:rPr>
          <w:rFonts w:hint="eastAsia" w:ascii="宋体" w:hAnsi="宋体"/>
          <w:sz w:val="24"/>
        </w:rPr>
        <w:t>：</w:t>
      </w:r>
    </w:p>
    <w:p>
      <w:pPr>
        <w:spacing w:line="360" w:lineRule="auto"/>
        <w:ind w:left="479" w:leftChars="228"/>
        <w:rPr>
          <w:rFonts w:ascii="宋体" w:hAnsi="宋体"/>
          <w:sz w:val="24"/>
        </w:rPr>
      </w:pPr>
      <w:r>
        <w:rPr>
          <w:rFonts w:hint="eastAsia" w:ascii="宋体" w:hAnsi="宋体"/>
          <w:sz w:val="24"/>
        </w:rPr>
        <w:t>我方在参加贵单位的（项目编号）＿＿＿＿＿＿（项目名称）＿＿＿＿＿＿项目（标项名称）＿＿＿＿＿ 的招标活动中，郑重承诺如下：</w:t>
      </w:r>
    </w:p>
    <w:p>
      <w:pPr>
        <w:spacing w:line="360" w:lineRule="auto"/>
        <w:ind w:firstLine="480" w:firstLineChars="200"/>
        <w:rPr>
          <w:rFonts w:ascii="宋体" w:hAnsi="宋体"/>
          <w:sz w:val="24"/>
        </w:rPr>
      </w:pPr>
      <w:r>
        <w:rPr>
          <w:rFonts w:hint="eastAsia" w:ascii="宋体" w:hAnsi="宋体"/>
          <w:sz w:val="24"/>
        </w:rPr>
        <w:t>1、我方申报的所有资料都是真实、准确、完整的；</w:t>
      </w:r>
    </w:p>
    <w:p>
      <w:pPr>
        <w:spacing w:line="360" w:lineRule="auto"/>
        <w:ind w:firstLine="480" w:firstLineChars="200"/>
        <w:rPr>
          <w:rFonts w:ascii="宋体" w:hAnsi="宋体"/>
          <w:sz w:val="24"/>
        </w:rPr>
      </w:pPr>
      <w:r>
        <w:rPr>
          <w:rFonts w:hint="eastAsia" w:ascii="宋体" w:hAnsi="宋体"/>
          <w:sz w:val="24"/>
        </w:rPr>
        <w:t>2、我方无资质挂靠情形，保证不参与串通投标、抬高投标价格；</w:t>
      </w:r>
    </w:p>
    <w:p>
      <w:pPr>
        <w:spacing w:line="360" w:lineRule="auto"/>
        <w:ind w:firstLine="480" w:firstLineChars="200"/>
        <w:rPr>
          <w:rFonts w:ascii="宋体" w:hAnsi="宋体"/>
          <w:sz w:val="24"/>
        </w:rPr>
      </w:pPr>
      <w:r>
        <w:rPr>
          <w:rFonts w:hint="eastAsia" w:ascii="宋体" w:hAnsi="宋体"/>
          <w:sz w:val="24"/>
        </w:rPr>
        <w:t>3、我方未处于被各级行政主管部门做出停止市场行为处罚的期限内；</w:t>
      </w:r>
    </w:p>
    <w:p>
      <w:pPr>
        <w:spacing w:line="360" w:lineRule="auto"/>
        <w:ind w:firstLine="480" w:firstLineChars="200"/>
        <w:rPr>
          <w:rFonts w:ascii="宋体" w:hAnsi="宋体"/>
          <w:sz w:val="24"/>
        </w:rPr>
      </w:pPr>
      <w:r>
        <w:rPr>
          <w:rFonts w:hint="eastAsia" w:ascii="宋体" w:hAnsi="宋体"/>
          <w:sz w:val="24"/>
        </w:rPr>
        <w:t>4、我方参加本项目招标活动前3年内在经营活动中没有重大违法记录；</w:t>
      </w:r>
    </w:p>
    <w:p>
      <w:pPr>
        <w:spacing w:line="360" w:lineRule="auto"/>
        <w:ind w:firstLine="480" w:firstLineChars="200"/>
        <w:rPr>
          <w:rFonts w:ascii="宋体" w:hAnsi="宋体"/>
          <w:sz w:val="24"/>
        </w:rPr>
      </w:pPr>
      <w:r>
        <w:rPr>
          <w:rFonts w:hint="eastAsia" w:ascii="宋体" w:hAnsi="宋体"/>
          <w:sz w:val="24"/>
        </w:rPr>
        <w:t>5、若我方成为成交供应商，将严格按照规定及时与业主签订合同；</w:t>
      </w:r>
    </w:p>
    <w:p>
      <w:pPr>
        <w:spacing w:line="360" w:lineRule="auto"/>
        <w:ind w:firstLine="482" w:firstLineChars="200"/>
        <w:rPr>
          <w:rFonts w:ascii="宋体" w:hAnsi="宋体"/>
          <w:b/>
          <w:bCs/>
          <w:sz w:val="24"/>
        </w:rPr>
      </w:pPr>
      <w:r>
        <w:rPr>
          <w:rFonts w:hint="eastAsia" w:ascii="宋体" w:hAnsi="宋体"/>
          <w:b/>
          <w:bCs/>
          <w:sz w:val="24"/>
        </w:rPr>
        <w:t>6、若我方成为成交供应商，将严格按照招标文件技术要求及我司响应文件承诺的质量、供货时间、报价、投标方案等内容组织实施；</w:t>
      </w:r>
    </w:p>
    <w:p>
      <w:pPr>
        <w:spacing w:line="360" w:lineRule="auto"/>
        <w:ind w:firstLine="480" w:firstLineChars="200"/>
        <w:rPr>
          <w:rFonts w:ascii="宋体" w:hAnsi="宋体"/>
          <w:sz w:val="24"/>
        </w:rPr>
      </w:pPr>
      <w:r>
        <w:rPr>
          <w:rFonts w:hint="eastAsia" w:ascii="宋体" w:hAnsi="宋体"/>
          <w:sz w:val="24"/>
        </w:rPr>
        <w:t>我方若违反上述承诺，隐瞒、提供虚假资料或不按招标文件要求组织实施或参与串通投标、抬高投标价格等行为，被贵方发现或被他人举报查实，无条件接受采购人、行政监管部门作出的取消招标资格、成交资格、解除合同、拒绝后续招标，并自愿被列入不良行为记录、不守信用黑名单、政府采购黑名单等的处罚。对造成的损失，任何法律和经济责任完全由我司负责。</w:t>
      </w:r>
    </w:p>
    <w:p>
      <w:pPr>
        <w:spacing w:line="360" w:lineRule="auto"/>
        <w:ind w:firstLine="480" w:firstLineChars="200"/>
        <w:rPr>
          <w:rFonts w:ascii="宋体" w:hAnsi="宋体"/>
          <w:sz w:val="24"/>
        </w:rPr>
      </w:pPr>
      <w:r>
        <w:rPr>
          <w:rFonts w:hint="eastAsia" w:ascii="宋体" w:hAnsi="宋体"/>
          <w:sz w:val="24"/>
        </w:rPr>
        <w:t>特此承诺。</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napToGrid w:val="0"/>
        <w:spacing w:before="50" w:after="50"/>
        <w:ind w:left="-2" w:leftChars="-1" w:right="-817" w:rightChars="-389" w:firstLine="360" w:firstLineChars="150"/>
        <w:rPr>
          <w:rFonts w:ascii="宋体" w:hAnsi="宋体"/>
          <w:sz w:val="24"/>
        </w:rPr>
      </w:pPr>
      <w:r>
        <w:rPr>
          <w:rFonts w:hint="eastAsia" w:ascii="宋体" w:hAnsi="宋体"/>
          <w:sz w:val="24"/>
        </w:rPr>
        <w:t>法定代表人或委托代理人（签字或盖章）：</w:t>
      </w:r>
    </w:p>
    <w:p>
      <w:pPr>
        <w:snapToGrid w:val="0"/>
        <w:spacing w:before="50" w:after="50"/>
        <w:ind w:left="-2" w:leftChars="-1" w:right="-817" w:rightChars="-389" w:firstLine="360" w:firstLineChars="150"/>
        <w:rPr>
          <w:rFonts w:ascii="宋体" w:hAnsi="宋体"/>
          <w:sz w:val="24"/>
        </w:rPr>
      </w:pPr>
    </w:p>
    <w:p>
      <w:pPr>
        <w:snapToGrid w:val="0"/>
        <w:spacing w:before="50" w:after="50"/>
        <w:ind w:right="-817" w:rightChars="-389" w:firstLine="360" w:firstLineChars="150"/>
        <w:rPr>
          <w:rFonts w:ascii="宋体" w:hAnsi="宋体"/>
          <w:sz w:val="24"/>
        </w:rPr>
      </w:pPr>
      <w:r>
        <w:rPr>
          <w:rFonts w:hint="eastAsia" w:ascii="宋体" w:hAnsi="宋体"/>
          <w:sz w:val="24"/>
        </w:rPr>
        <w:t xml:space="preserve">投标人名称（盖章）：                                         </w:t>
      </w:r>
    </w:p>
    <w:p>
      <w:pPr>
        <w:snapToGrid w:val="0"/>
        <w:spacing w:before="50" w:after="50"/>
        <w:ind w:right="-817" w:rightChars="-389"/>
        <w:rPr>
          <w:rFonts w:ascii="宋体" w:hAnsi="宋体"/>
          <w:sz w:val="24"/>
        </w:rPr>
      </w:pPr>
    </w:p>
    <w:p>
      <w:pPr>
        <w:pStyle w:val="20"/>
        <w:ind w:firstLine="5760" w:firstLineChars="2400"/>
        <w:rPr>
          <w:rFonts w:ascii="宋体" w:hAnsi="宋体"/>
          <w:sz w:val="24"/>
        </w:rPr>
      </w:pPr>
      <w:r>
        <w:rPr>
          <w:rFonts w:hint="eastAsia" w:ascii="宋体" w:hAnsi="宋体"/>
          <w:sz w:val="24"/>
        </w:rPr>
        <w:t>日期：    年   月   日</w:t>
      </w:r>
    </w:p>
    <w:p>
      <w:pPr>
        <w:pStyle w:val="32"/>
        <w:spacing w:before="156"/>
        <w:rPr>
          <w:rFonts w:hint="eastAsia"/>
        </w:rPr>
      </w:pPr>
    </w:p>
    <w:p>
      <w:pPr>
        <w:pStyle w:val="2"/>
        <w:ind w:left="0" w:leftChars="0" w:firstLine="0" w:firstLineChars="0"/>
        <w:rPr>
          <w:sz w:val="24"/>
          <w:highlight w:val="green"/>
        </w:rPr>
      </w:pPr>
    </w:p>
    <w:sectPr>
      <w:headerReference r:id="rId3" w:type="default"/>
      <w:footerReference r:id="rId4" w:type="default"/>
      <w:pgSz w:w="11906" w:h="16838"/>
      <w:pgMar w:top="873" w:right="1418" w:bottom="420" w:left="1418" w:header="851" w:footer="992"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modern"/>
    <w:pitch w:val="default"/>
    <w:sig w:usb0="E10002FF" w:usb1="4000FCFF" w:usb2="00000009" w:usb3="00000000" w:csb0="6000019F" w:csb1="DFD7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Helvetica;Aria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仿宋">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5153"/>
        <w:tab w:val="right" w:pos="9190"/>
      </w:tabs>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29</w:t>
                    </w:r>
                    <w:r>
                      <w:fldChar w:fldCharType="end"/>
                    </w:r>
                  </w:p>
                </w:txbxContent>
              </v:textbox>
            </v:shape>
          </w:pict>
        </mc:Fallback>
      </mc:AlternateContent>
    </w:r>
    <w:r>
      <w:rPr>
        <w:rFonts w:hint="eastAsia"/>
      </w:rPr>
      <w:tab/>
    </w:r>
    <w:r>
      <w:rPr>
        <w:rFonts w:hint="eastAsia"/>
      </w:rPr>
      <w:tab/>
    </w:r>
    <w:r>
      <w:rPr>
        <w:rFonts w:hint="eastAsia"/>
      </w:rPr>
      <w:tab/>
    </w:r>
    <w:r>
      <w:rPr>
        <w:rFonts w:hint="eastAsia"/>
      </w:rPr>
      <w:t xml:space="preserve">      浙江广厦建设职业技术大学</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rFonts w:hint="eastAsia" w:ascii="宋体" w:hAnsi="宋体" w:eastAsia="宋体" w:cs="宋体"/>
        <w:bCs/>
        <w:szCs w:val="18"/>
        <w:lang w:eastAsia="zh-CN"/>
      </w:rPr>
    </w:pPr>
    <w:r>
      <w:rPr>
        <w:rFonts w:hint="eastAsia" w:ascii="宋体" w:hAnsi="宋体" w:cs="宋体"/>
        <w:bCs/>
        <w:szCs w:val="18"/>
      </w:rPr>
      <w:t>浙江广厦建设职业技术大学</w:t>
    </w:r>
    <w:r>
      <w:rPr>
        <w:rFonts w:hint="eastAsia" w:ascii="宋体" w:hAnsi="宋体" w:cs="宋体"/>
        <w:bCs/>
        <w:szCs w:val="18"/>
        <w:lang w:eastAsia="zh-CN"/>
      </w:rPr>
      <w:t>高校智能服务终端（含嵌入式智能服务软件V8.0）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chineseCountingThousand"/>
      <w:lvlText w:val="%1、"/>
      <w:lvlJc w:val="left"/>
      <w:pPr>
        <w:tabs>
          <w:tab w:val="left" w:pos="0"/>
        </w:tabs>
        <w:ind w:left="720" w:hanging="720"/>
      </w:pPr>
      <w:rPr>
        <w:rFonts w:cs="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
    <w:nsid w:val="CF092B84"/>
    <w:multiLevelType w:val="multilevel"/>
    <w:tmpl w:val="CF092B84"/>
    <w:lvl w:ilvl="0" w:tentative="0">
      <w:start w:val="1"/>
      <w:numFmt w:val="chineseCountingThousand"/>
      <w:pStyle w:val="41"/>
      <w:lvlText w:val="第%1章"/>
      <w:lvlJc w:val="left"/>
      <w:pPr>
        <w:tabs>
          <w:tab w:val="left" w:pos="0"/>
        </w:tabs>
        <w:ind w:left="1440" w:hanging="1275"/>
      </w:pPr>
    </w:lvl>
    <w:lvl w:ilvl="1" w:tentative="0">
      <w:start w:val="1"/>
      <w:numFmt w:val="chineseCountingThousand"/>
      <w:lvlText w:val="%2、"/>
      <w:lvlJc w:val="left"/>
      <w:pPr>
        <w:tabs>
          <w:tab w:val="left" w:pos="0"/>
        </w:tabs>
        <w:ind w:left="1305" w:hanging="720"/>
      </w:pPr>
    </w:lvl>
    <w:lvl w:ilvl="2" w:tentative="0">
      <w:start w:val="1"/>
      <w:numFmt w:val="decimal"/>
      <w:lvlText w:val="%3."/>
      <w:lvlJc w:val="left"/>
      <w:pPr>
        <w:tabs>
          <w:tab w:val="left" w:pos="0"/>
        </w:tabs>
        <w:ind w:left="2160" w:hanging="360"/>
      </w:pPr>
    </w:lvl>
    <w:lvl w:ilvl="3" w:tentative="0">
      <w:start w:val="1"/>
      <w:numFmt w:val="decimal"/>
      <w:lvlText w:val="%4."/>
      <w:lvlJc w:val="left"/>
      <w:pPr>
        <w:tabs>
          <w:tab w:val="left" w:pos="0"/>
        </w:tabs>
        <w:ind w:left="2880" w:hanging="360"/>
      </w:pPr>
    </w:lvl>
    <w:lvl w:ilvl="4" w:tentative="0">
      <w:start w:val="1"/>
      <w:numFmt w:val="decimal"/>
      <w:lvlText w:val="%5."/>
      <w:lvlJc w:val="left"/>
      <w:pPr>
        <w:tabs>
          <w:tab w:val="left" w:pos="0"/>
        </w:tabs>
        <w:ind w:left="3600" w:hanging="360"/>
      </w:pPr>
    </w:lvl>
    <w:lvl w:ilvl="5" w:tentative="0">
      <w:start w:val="1"/>
      <w:numFmt w:val="decimal"/>
      <w:lvlText w:val="%6."/>
      <w:lvlJc w:val="left"/>
      <w:pPr>
        <w:tabs>
          <w:tab w:val="left" w:pos="0"/>
        </w:tabs>
        <w:ind w:left="4320" w:hanging="360"/>
      </w:pPr>
    </w:lvl>
    <w:lvl w:ilvl="6" w:tentative="0">
      <w:start w:val="1"/>
      <w:numFmt w:val="decimal"/>
      <w:lvlText w:val="%7."/>
      <w:lvlJc w:val="left"/>
      <w:pPr>
        <w:tabs>
          <w:tab w:val="left" w:pos="0"/>
        </w:tabs>
        <w:ind w:left="5040" w:hanging="360"/>
      </w:pPr>
    </w:lvl>
    <w:lvl w:ilvl="7" w:tentative="0">
      <w:start w:val="1"/>
      <w:numFmt w:val="decimal"/>
      <w:lvlText w:val="%8."/>
      <w:lvlJc w:val="left"/>
      <w:pPr>
        <w:tabs>
          <w:tab w:val="left" w:pos="0"/>
        </w:tabs>
        <w:ind w:left="5760" w:hanging="360"/>
      </w:pPr>
    </w:lvl>
    <w:lvl w:ilvl="8" w:tentative="0">
      <w:start w:val="1"/>
      <w:numFmt w:val="decimal"/>
      <w:lvlText w:val="%9."/>
      <w:lvlJc w:val="left"/>
      <w:pPr>
        <w:tabs>
          <w:tab w:val="left" w:pos="0"/>
        </w:tabs>
        <w:ind w:left="6480" w:hanging="360"/>
      </w:pPr>
    </w:lvl>
  </w:abstractNum>
  <w:abstractNum w:abstractNumId="2">
    <w:nsid w:val="0053208E"/>
    <w:multiLevelType w:val="multilevel"/>
    <w:tmpl w:val="0053208E"/>
    <w:lvl w:ilvl="0" w:tentative="0">
      <w:start w:val="1"/>
      <w:numFmt w:val="none"/>
      <w:suff w:val="nothing"/>
      <w:lvlText w:val=""/>
      <w:lvlJc w:val="left"/>
      <w:pPr>
        <w:tabs>
          <w:tab w:val="left" w:pos="0"/>
        </w:tabs>
        <w:ind w:left="0" w:firstLine="0"/>
      </w:pPr>
    </w:lvl>
    <w:lvl w:ilvl="1" w:tentative="0">
      <w:start w:val="1"/>
      <w:numFmt w:val="none"/>
      <w:pStyle w:val="7"/>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3">
    <w:nsid w:val="18F94E63"/>
    <w:multiLevelType w:val="multilevel"/>
    <w:tmpl w:val="18F94E63"/>
    <w:lvl w:ilvl="0" w:tentative="0">
      <w:start w:val="5"/>
      <w:numFmt w:val="japaneseCounting"/>
      <w:lvlText w:val="%1、"/>
      <w:lvlJc w:val="left"/>
      <w:pPr>
        <w:ind w:left="510" w:hanging="51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21B8A4A"/>
    <w:multiLevelType w:val="singleLevel"/>
    <w:tmpl w:val="321B8A4A"/>
    <w:lvl w:ilvl="0" w:tentative="0">
      <w:start w:val="2"/>
      <w:numFmt w:val="chineseCounting"/>
      <w:suff w:val="nothing"/>
      <w:lvlText w:val="%1、"/>
      <w:lvlJc w:val="left"/>
      <w:rPr>
        <w:rFonts w:hint="eastAsia"/>
      </w:rPr>
    </w:lvl>
  </w:abstractNum>
  <w:abstractNum w:abstractNumId="5">
    <w:nsid w:val="4718142E"/>
    <w:multiLevelType w:val="singleLevel"/>
    <w:tmpl w:val="4718142E"/>
    <w:lvl w:ilvl="0" w:tentative="0">
      <w:start w:val="4"/>
      <w:numFmt w:val="chineseCounting"/>
      <w:suff w:val="nothing"/>
      <w:lvlText w:val="%1、"/>
      <w:lvlJc w:val="left"/>
      <w:rPr>
        <w:rFonts w:hint="eastAsia"/>
      </w:rPr>
    </w:lvl>
  </w:abstractNum>
  <w:abstractNum w:abstractNumId="6">
    <w:nsid w:val="6C333787"/>
    <w:multiLevelType w:val="multilevel"/>
    <w:tmpl w:val="6C333787"/>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autoHyphenation/>
  <w:displayHorizontalDrawingGridEvery w:val="1"/>
  <w:displayVerticalDrawingGridEvery w:val="1"/>
  <w:noPunctuationKerning w:val="1"/>
  <w:characterSpacingControl w:val="doNotCompress"/>
  <w:compat>
    <w:noLeading/>
    <w:balanceSingleByteDoubleByteWidth/>
    <w:doNotExpandShiftReturn/>
    <w:doNotWrapTextWithPunct/>
    <w:doNotUseEastAsianBreakRules/>
    <w:useFELayout/>
    <w:doNotUseIndentAsNumberingTabStop/>
    <w:useAltKinsokuLineBreakRules/>
    <w:compatSetting w:name="compatibilityMode" w:uri="http://schemas.microsoft.com/office/word" w:val="14"/>
  </w:compat>
  <w:rsids>
    <w:rsidRoot w:val="00AB525C"/>
    <w:rsid w:val="000F0840"/>
    <w:rsid w:val="001038F1"/>
    <w:rsid w:val="001335F1"/>
    <w:rsid w:val="00172710"/>
    <w:rsid w:val="002C0B7F"/>
    <w:rsid w:val="002E53B6"/>
    <w:rsid w:val="00404D7B"/>
    <w:rsid w:val="004600A6"/>
    <w:rsid w:val="00495CCC"/>
    <w:rsid w:val="004A50B8"/>
    <w:rsid w:val="005270DC"/>
    <w:rsid w:val="005B40FB"/>
    <w:rsid w:val="005D4645"/>
    <w:rsid w:val="0066414E"/>
    <w:rsid w:val="00712491"/>
    <w:rsid w:val="008310CA"/>
    <w:rsid w:val="00917156"/>
    <w:rsid w:val="00AB525C"/>
    <w:rsid w:val="00C21066"/>
    <w:rsid w:val="00DE496C"/>
    <w:rsid w:val="00E05901"/>
    <w:rsid w:val="00E44D63"/>
    <w:rsid w:val="00E703A2"/>
    <w:rsid w:val="00EE5BA2"/>
    <w:rsid w:val="00F24CE1"/>
    <w:rsid w:val="00F43281"/>
    <w:rsid w:val="03E25F14"/>
    <w:rsid w:val="03F62FB3"/>
    <w:rsid w:val="0607278D"/>
    <w:rsid w:val="06262432"/>
    <w:rsid w:val="06994A8B"/>
    <w:rsid w:val="080E29B4"/>
    <w:rsid w:val="087E24E7"/>
    <w:rsid w:val="08B22B4C"/>
    <w:rsid w:val="08DD30AA"/>
    <w:rsid w:val="08F604F5"/>
    <w:rsid w:val="0C6C4408"/>
    <w:rsid w:val="0EA571D7"/>
    <w:rsid w:val="107065E4"/>
    <w:rsid w:val="11A1117F"/>
    <w:rsid w:val="123A7E2C"/>
    <w:rsid w:val="135429F0"/>
    <w:rsid w:val="13930594"/>
    <w:rsid w:val="13B7478A"/>
    <w:rsid w:val="15042B2F"/>
    <w:rsid w:val="15104DA4"/>
    <w:rsid w:val="15341D4B"/>
    <w:rsid w:val="156A7E8D"/>
    <w:rsid w:val="16437974"/>
    <w:rsid w:val="1727267F"/>
    <w:rsid w:val="17B05988"/>
    <w:rsid w:val="17B13E58"/>
    <w:rsid w:val="195D345D"/>
    <w:rsid w:val="19991978"/>
    <w:rsid w:val="1B7C360D"/>
    <w:rsid w:val="1C9F4B75"/>
    <w:rsid w:val="1CC7020F"/>
    <w:rsid w:val="1D80679D"/>
    <w:rsid w:val="1DBD6564"/>
    <w:rsid w:val="1E274ADE"/>
    <w:rsid w:val="1EA164C8"/>
    <w:rsid w:val="1EF22B5C"/>
    <w:rsid w:val="1F5E4560"/>
    <w:rsid w:val="202E5912"/>
    <w:rsid w:val="207B1F35"/>
    <w:rsid w:val="21856A19"/>
    <w:rsid w:val="21DF4297"/>
    <w:rsid w:val="222E0510"/>
    <w:rsid w:val="23C24978"/>
    <w:rsid w:val="240336D4"/>
    <w:rsid w:val="24EB52FA"/>
    <w:rsid w:val="25A67063"/>
    <w:rsid w:val="25B070BC"/>
    <w:rsid w:val="260F192D"/>
    <w:rsid w:val="26732D02"/>
    <w:rsid w:val="26876432"/>
    <w:rsid w:val="26CE6C89"/>
    <w:rsid w:val="27362170"/>
    <w:rsid w:val="275736F7"/>
    <w:rsid w:val="279039A4"/>
    <w:rsid w:val="2796245D"/>
    <w:rsid w:val="27C30177"/>
    <w:rsid w:val="27F16527"/>
    <w:rsid w:val="281B7DC5"/>
    <w:rsid w:val="28C67585"/>
    <w:rsid w:val="2967574D"/>
    <w:rsid w:val="2A0F5AD0"/>
    <w:rsid w:val="2AC4440C"/>
    <w:rsid w:val="2ACE0B4F"/>
    <w:rsid w:val="2BAB6B62"/>
    <w:rsid w:val="2CD4195A"/>
    <w:rsid w:val="2DC42306"/>
    <w:rsid w:val="2F7D7FF1"/>
    <w:rsid w:val="30096E9A"/>
    <w:rsid w:val="3052095D"/>
    <w:rsid w:val="30944267"/>
    <w:rsid w:val="31752E4D"/>
    <w:rsid w:val="32A759F3"/>
    <w:rsid w:val="33E35B95"/>
    <w:rsid w:val="34243802"/>
    <w:rsid w:val="348B567A"/>
    <w:rsid w:val="34C41D8A"/>
    <w:rsid w:val="358825E8"/>
    <w:rsid w:val="3664336C"/>
    <w:rsid w:val="36657AD7"/>
    <w:rsid w:val="36DC3F1E"/>
    <w:rsid w:val="37321B4E"/>
    <w:rsid w:val="37E0408E"/>
    <w:rsid w:val="384F2405"/>
    <w:rsid w:val="38544A02"/>
    <w:rsid w:val="39610520"/>
    <w:rsid w:val="3AC94E4D"/>
    <w:rsid w:val="3B2A1FFC"/>
    <w:rsid w:val="3BB32189"/>
    <w:rsid w:val="3CAE7382"/>
    <w:rsid w:val="3CBB3FD0"/>
    <w:rsid w:val="3D924E50"/>
    <w:rsid w:val="3DA7294F"/>
    <w:rsid w:val="3E0C1DEE"/>
    <w:rsid w:val="3EBF7D89"/>
    <w:rsid w:val="3F320ADA"/>
    <w:rsid w:val="40410C71"/>
    <w:rsid w:val="40641F26"/>
    <w:rsid w:val="406B7C25"/>
    <w:rsid w:val="41143098"/>
    <w:rsid w:val="41770D1F"/>
    <w:rsid w:val="420C2899"/>
    <w:rsid w:val="425F5876"/>
    <w:rsid w:val="432A674E"/>
    <w:rsid w:val="436D6006"/>
    <w:rsid w:val="452E2C02"/>
    <w:rsid w:val="453F61B2"/>
    <w:rsid w:val="45CB32B2"/>
    <w:rsid w:val="46A47C03"/>
    <w:rsid w:val="49717293"/>
    <w:rsid w:val="49D861A9"/>
    <w:rsid w:val="4A650F9C"/>
    <w:rsid w:val="4A806F2A"/>
    <w:rsid w:val="4C144BF7"/>
    <w:rsid w:val="4D48462C"/>
    <w:rsid w:val="4D53269F"/>
    <w:rsid w:val="4D9E1705"/>
    <w:rsid w:val="4DC74482"/>
    <w:rsid w:val="4E5765D2"/>
    <w:rsid w:val="4FC64531"/>
    <w:rsid w:val="50AE14AA"/>
    <w:rsid w:val="517972C1"/>
    <w:rsid w:val="51B422A0"/>
    <w:rsid w:val="51D96160"/>
    <w:rsid w:val="53131861"/>
    <w:rsid w:val="55B4367E"/>
    <w:rsid w:val="561D19DF"/>
    <w:rsid w:val="562016BC"/>
    <w:rsid w:val="56465888"/>
    <w:rsid w:val="56781A8E"/>
    <w:rsid w:val="573F5A2A"/>
    <w:rsid w:val="579B1375"/>
    <w:rsid w:val="58C35021"/>
    <w:rsid w:val="59526A20"/>
    <w:rsid w:val="5A0A2AC3"/>
    <w:rsid w:val="5A2669CA"/>
    <w:rsid w:val="5B6675FA"/>
    <w:rsid w:val="5BCD3B74"/>
    <w:rsid w:val="5C3B5E33"/>
    <w:rsid w:val="5C776A62"/>
    <w:rsid w:val="5CB67F6A"/>
    <w:rsid w:val="5CC23FE3"/>
    <w:rsid w:val="5E806EE0"/>
    <w:rsid w:val="5F286EFA"/>
    <w:rsid w:val="5FED28BF"/>
    <w:rsid w:val="604D7A4F"/>
    <w:rsid w:val="61F61BAA"/>
    <w:rsid w:val="62772DA0"/>
    <w:rsid w:val="629D7845"/>
    <w:rsid w:val="63B73291"/>
    <w:rsid w:val="64BA42BC"/>
    <w:rsid w:val="66030850"/>
    <w:rsid w:val="685456D9"/>
    <w:rsid w:val="68FE5017"/>
    <w:rsid w:val="693D3BA7"/>
    <w:rsid w:val="69FF57FE"/>
    <w:rsid w:val="6ADF4048"/>
    <w:rsid w:val="6BAB719E"/>
    <w:rsid w:val="6BBD79A5"/>
    <w:rsid w:val="6BCE69E9"/>
    <w:rsid w:val="6DC557E0"/>
    <w:rsid w:val="6E773C97"/>
    <w:rsid w:val="6E8B3B97"/>
    <w:rsid w:val="6EC438DC"/>
    <w:rsid w:val="6F763185"/>
    <w:rsid w:val="6F8B5E21"/>
    <w:rsid w:val="6FE03FA5"/>
    <w:rsid w:val="70162DF4"/>
    <w:rsid w:val="71D8791D"/>
    <w:rsid w:val="72042952"/>
    <w:rsid w:val="721B7640"/>
    <w:rsid w:val="729156D3"/>
    <w:rsid w:val="73BF17F6"/>
    <w:rsid w:val="741B2627"/>
    <w:rsid w:val="74C8662B"/>
    <w:rsid w:val="74CC3216"/>
    <w:rsid w:val="75852AD2"/>
    <w:rsid w:val="75B57076"/>
    <w:rsid w:val="773B142A"/>
    <w:rsid w:val="77E77217"/>
    <w:rsid w:val="783667EF"/>
    <w:rsid w:val="789611F7"/>
    <w:rsid w:val="78CC7108"/>
    <w:rsid w:val="7A533772"/>
    <w:rsid w:val="7A554D40"/>
    <w:rsid w:val="7CB56E62"/>
    <w:rsid w:val="7D360A94"/>
    <w:rsid w:val="7DE02261"/>
    <w:rsid w:val="7E484D41"/>
    <w:rsid w:val="7FF12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keepNext/>
      <w:keepLines/>
      <w:spacing w:before="340" w:after="330" w:line="578" w:lineRule="auto"/>
      <w:outlineLvl w:val="0"/>
    </w:pPr>
    <w:rPr>
      <w:b/>
      <w:bCs/>
      <w:kern w:val="44"/>
      <w:sz w:val="44"/>
      <w:szCs w:val="44"/>
    </w:rPr>
  </w:style>
  <w:style w:type="paragraph" w:styleId="7">
    <w:name w:val="heading 2"/>
    <w:basedOn w:val="1"/>
    <w:next w:val="1"/>
    <w:link w:val="37"/>
    <w:qFormat/>
    <w:uiPriority w:val="0"/>
    <w:pPr>
      <w:keepNext/>
      <w:keepLines/>
      <w:numPr>
        <w:ilvl w:val="1"/>
        <w:numId w:val="1"/>
      </w:numPr>
      <w:spacing w:before="260" w:after="260" w:line="415" w:lineRule="auto"/>
      <w:outlineLvl w:val="1"/>
    </w:pPr>
    <w:rPr>
      <w:rFonts w:ascii="Cambria" w:hAnsi="Cambria" w:cs="Cambria"/>
      <w:b/>
      <w:bCs/>
      <w:sz w:val="32"/>
      <w:szCs w:val="32"/>
    </w:rPr>
  </w:style>
  <w:style w:type="paragraph" w:styleId="8">
    <w:name w:val="heading 6"/>
    <w:basedOn w:val="1"/>
    <w:next w:val="1"/>
    <w:qFormat/>
    <w:uiPriority w:val="0"/>
    <w:pPr>
      <w:keepNext/>
      <w:keepLines/>
      <w:spacing w:before="240" w:after="64" w:line="312" w:lineRule="auto"/>
      <w:outlineLvl w:val="5"/>
    </w:pPr>
    <w:rPr>
      <w:rFonts w:ascii="Arial" w:hAnsi="Arial" w:eastAsia="黑体"/>
      <w:b/>
      <w:sz w:val="24"/>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spacing w:after="120" w:line="240" w:lineRule="auto"/>
      <w:ind w:left="420" w:leftChars="200" w:firstLine="420" w:firstLineChars="200"/>
    </w:pPr>
    <w:rPr>
      <w:sz w:val="21"/>
      <w:szCs w:val="24"/>
    </w:rPr>
  </w:style>
  <w:style w:type="paragraph" w:styleId="3">
    <w:name w:val="Body Text Indent"/>
    <w:basedOn w:val="1"/>
    <w:next w:val="4"/>
    <w:qFormat/>
    <w:uiPriority w:val="0"/>
    <w:pPr>
      <w:spacing w:line="200" w:lineRule="exact"/>
      <w:ind w:firstLine="301"/>
    </w:pPr>
    <w:rPr>
      <w:rFonts w:ascii="宋体" w:hAnsi="宋体" w:cs="Courier New"/>
      <w:spacing w:val="-4"/>
      <w:sz w:val="18"/>
      <w:szCs w:val="20"/>
    </w:rPr>
  </w:style>
  <w:style w:type="paragraph" w:styleId="4">
    <w:name w:val="Normal Indent"/>
    <w:basedOn w:val="1"/>
    <w:next w:val="5"/>
    <w:qFormat/>
    <w:uiPriority w:val="0"/>
    <w:pPr>
      <w:ind w:firstLine="420"/>
    </w:pPr>
    <w:rPr>
      <w:szCs w:val="20"/>
    </w:rPr>
  </w:style>
  <w:style w:type="paragraph" w:styleId="5">
    <w:name w:val="Body Text"/>
    <w:basedOn w:val="1"/>
    <w:next w:val="1"/>
    <w:qFormat/>
    <w:uiPriority w:val="0"/>
    <w:pPr>
      <w:spacing w:after="120"/>
    </w:pPr>
    <w:rPr>
      <w:sz w:val="28"/>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List Bullet 3"/>
    <w:basedOn w:val="1"/>
    <w:qFormat/>
    <w:uiPriority w:val="0"/>
    <w:pPr>
      <w:ind w:hanging="200"/>
    </w:pPr>
    <w:rPr>
      <w:sz w:val="28"/>
    </w:rPr>
  </w:style>
  <w:style w:type="paragraph" w:styleId="11">
    <w:name w:val="Plain Text"/>
    <w:basedOn w:val="1"/>
    <w:next w:val="1"/>
    <w:qFormat/>
    <w:uiPriority w:val="0"/>
    <w:pPr>
      <w:spacing w:before="156" w:beforeLines="50" w:after="156" w:afterLines="50" w:line="400" w:lineRule="exact"/>
    </w:pPr>
    <w:rPr>
      <w:rFonts w:ascii="宋体" w:hAnsi="Courier New"/>
      <w:sz w:val="24"/>
    </w:rPr>
  </w:style>
  <w:style w:type="paragraph" w:styleId="12">
    <w:name w:val="Date"/>
    <w:basedOn w:val="1"/>
    <w:next w:val="1"/>
    <w:qFormat/>
    <w:uiPriority w:val="0"/>
    <w:pPr>
      <w:ind w:left="2500" w:leftChars="2500"/>
    </w:pPr>
    <w:rPr>
      <w:rFonts w:eastAsia="楷体_GB2312"/>
      <w:sz w:val="32"/>
      <w:szCs w:val="20"/>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style>
  <w:style w:type="paragraph" w:styleId="16">
    <w:name w:val="footnote text"/>
    <w:basedOn w:val="1"/>
    <w:qFormat/>
    <w:uiPriority w:val="0"/>
    <w:pPr>
      <w:jc w:val="left"/>
    </w:pPr>
    <w:rPr>
      <w:kern w:val="1"/>
      <w:sz w:val="18"/>
    </w:rPr>
  </w:style>
  <w:style w:type="paragraph" w:styleId="17">
    <w:name w:val="toc 6"/>
    <w:basedOn w:val="1"/>
    <w:next w:val="1"/>
    <w:qFormat/>
    <w:uiPriority w:val="0"/>
    <w:pPr>
      <w:ind w:left="2100"/>
    </w:pPr>
  </w:style>
  <w:style w:type="paragraph" w:styleId="18">
    <w:name w:val="toc 2"/>
    <w:basedOn w:val="1"/>
    <w:next w:val="1"/>
    <w:qFormat/>
    <w:uiPriority w:val="0"/>
    <w:pPr>
      <w:ind w:left="420"/>
    </w:pPr>
  </w:style>
  <w:style w:type="paragraph" w:styleId="19">
    <w:name w:val="Normal (Web)"/>
    <w:basedOn w:val="1"/>
    <w:qFormat/>
    <w:uiPriority w:val="0"/>
    <w:pPr>
      <w:spacing w:after="150"/>
      <w:jc w:val="left"/>
    </w:pPr>
    <w:rPr>
      <w:kern w:val="0"/>
      <w:sz w:val="24"/>
    </w:rPr>
  </w:style>
  <w:style w:type="paragraph" w:styleId="20">
    <w:name w:val="Body Text First Indent"/>
    <w:basedOn w:val="5"/>
    <w:next w:val="1"/>
    <w:qFormat/>
    <w:uiPriority w:val="0"/>
    <w:pPr>
      <w:ind w:firstLine="420" w:firstLineChars="100"/>
    </w:pPr>
  </w:style>
  <w:style w:type="character" w:styleId="23">
    <w:name w:val="Strong"/>
    <w:basedOn w:val="22"/>
    <w:qFormat/>
    <w:uiPriority w:val="0"/>
    <w:rPr>
      <w:b/>
      <w:bCs/>
    </w:rPr>
  </w:style>
  <w:style w:type="character" w:styleId="24">
    <w:name w:val="page number"/>
    <w:qFormat/>
    <w:uiPriority w:val="0"/>
  </w:style>
  <w:style w:type="character" w:styleId="25">
    <w:name w:val="FollowedHyperlink"/>
    <w:basedOn w:val="22"/>
    <w:qFormat/>
    <w:uiPriority w:val="0"/>
    <w:rPr>
      <w:color w:val="222222"/>
      <w:u w:val="none"/>
    </w:rPr>
  </w:style>
  <w:style w:type="character" w:styleId="26">
    <w:name w:val="HTML Definition"/>
    <w:basedOn w:val="22"/>
    <w:qFormat/>
    <w:uiPriority w:val="0"/>
    <w:rPr>
      <w:i/>
      <w:iCs/>
    </w:rPr>
  </w:style>
  <w:style w:type="character" w:styleId="27">
    <w:name w:val="Hyperlink"/>
    <w:basedOn w:val="22"/>
    <w:qFormat/>
    <w:uiPriority w:val="0"/>
    <w:rPr>
      <w:color w:val="222222"/>
      <w:u w:val="none"/>
    </w:rPr>
  </w:style>
  <w:style w:type="character" w:styleId="28">
    <w:name w:val="HTML Code"/>
    <w:basedOn w:val="22"/>
    <w:qFormat/>
    <w:uiPriority w:val="0"/>
    <w:rPr>
      <w:rFonts w:hint="default" w:ascii="Consolas" w:hAnsi="Consolas" w:eastAsia="Consolas" w:cs="Consolas"/>
      <w:color w:val="C7254E"/>
      <w:sz w:val="21"/>
      <w:szCs w:val="21"/>
      <w:shd w:val="clear" w:color="auto" w:fill="F9F2F4"/>
    </w:rPr>
  </w:style>
  <w:style w:type="character" w:styleId="29">
    <w:name w:val="HTML Keyboard"/>
    <w:basedOn w:val="22"/>
    <w:qFormat/>
    <w:uiPriority w:val="0"/>
    <w:rPr>
      <w:rFonts w:ascii="Consolas" w:hAnsi="Consolas" w:eastAsia="Consolas" w:cs="Consolas"/>
      <w:color w:val="FFFFFF"/>
      <w:sz w:val="21"/>
      <w:szCs w:val="21"/>
      <w:shd w:val="clear" w:color="auto" w:fill="333333"/>
    </w:rPr>
  </w:style>
  <w:style w:type="character" w:styleId="30">
    <w:name w:val="HTML Sample"/>
    <w:basedOn w:val="22"/>
    <w:qFormat/>
    <w:uiPriority w:val="0"/>
    <w:rPr>
      <w:rFonts w:hint="default" w:ascii="Consolas" w:hAnsi="Consolas" w:eastAsia="Consolas" w:cs="Consolas"/>
      <w:sz w:val="21"/>
      <w:szCs w:val="21"/>
    </w:rPr>
  </w:style>
  <w:style w:type="paragraph" w:customStyle="1" w:styleId="31">
    <w:name w:val="正文首行缩进2字符"/>
    <w:basedOn w:val="1"/>
    <w:qFormat/>
    <w:uiPriority w:val="99"/>
    <w:pPr>
      <w:spacing w:line="360" w:lineRule="auto"/>
      <w:ind w:firstLine="200" w:firstLineChars="200"/>
    </w:pPr>
    <w:rPr>
      <w:rFonts w:ascii="Calibri" w:hAnsi="Calibri" w:eastAsia="仿宋_GB2312"/>
      <w:kern w:val="0"/>
      <w:sz w:val="28"/>
      <w:szCs w:val="21"/>
    </w:rPr>
  </w:style>
  <w:style w:type="paragraph" w:customStyle="1" w:styleId="32">
    <w:name w:val="章正文"/>
    <w:basedOn w:val="1"/>
    <w:qFormat/>
    <w:uiPriority w:val="0"/>
    <w:pPr>
      <w:spacing w:after="120" w:line="300" w:lineRule="auto"/>
      <w:ind w:firstLine="480"/>
    </w:pPr>
    <w:rPr>
      <w:rFonts w:ascii="Helvetica;Arial" w:hAnsi="Helvetica;Arial" w:cs="Helvetica;Arial"/>
      <w:kern w:val="0"/>
    </w:rPr>
  </w:style>
  <w:style w:type="paragraph" w:customStyle="1" w:styleId="33">
    <w:name w:val="正文首行缩进 21"/>
    <w:basedOn w:val="3"/>
    <w:qFormat/>
    <w:uiPriority w:val="0"/>
    <w:pPr>
      <w:spacing w:after="120" w:line="240" w:lineRule="auto"/>
      <w:ind w:left="420" w:firstLine="420"/>
    </w:pPr>
    <w:rPr>
      <w:sz w:val="21"/>
      <w:szCs w:val="24"/>
    </w:rPr>
  </w:style>
  <w:style w:type="paragraph" w:customStyle="1" w:styleId="34">
    <w:name w:val="正文首行缩进1"/>
    <w:basedOn w:val="5"/>
    <w:next w:val="17"/>
    <w:qFormat/>
    <w:uiPriority w:val="0"/>
    <w:pPr>
      <w:ind w:firstLine="420"/>
    </w:pPr>
    <w:rPr>
      <w:rFonts w:ascii="Arial" w:hAnsi="Arial" w:cs="Arial"/>
    </w:rPr>
  </w:style>
  <w:style w:type="character" w:customStyle="1" w:styleId="35">
    <w:name w:val="标题 2 Char1"/>
    <w:qFormat/>
    <w:uiPriority w:val="0"/>
    <w:rPr>
      <w:rFonts w:ascii="Arial" w:hAnsi="Arial" w:eastAsia="宋体" w:cs="Times New Roman"/>
      <w:b/>
      <w:bCs/>
      <w:sz w:val="28"/>
      <w:szCs w:val="32"/>
    </w:rPr>
  </w:style>
  <w:style w:type="character" w:customStyle="1" w:styleId="36">
    <w:name w:val="页码1"/>
    <w:qFormat/>
    <w:uiPriority w:val="0"/>
  </w:style>
  <w:style w:type="character" w:customStyle="1" w:styleId="37">
    <w:name w:val="标题 2 字符"/>
    <w:basedOn w:val="22"/>
    <w:link w:val="7"/>
    <w:qFormat/>
    <w:uiPriority w:val="0"/>
    <w:rPr>
      <w:rFonts w:ascii="Cambria" w:hAnsi="Cambria" w:cs="Cambria"/>
      <w:b/>
      <w:bCs/>
      <w:sz w:val="32"/>
      <w:szCs w:val="32"/>
    </w:rPr>
  </w:style>
  <w:style w:type="character" w:customStyle="1" w:styleId="38">
    <w:name w:val="font11"/>
    <w:qFormat/>
    <w:uiPriority w:val="0"/>
    <w:rPr>
      <w:rFonts w:ascii="Times New Roman" w:hAnsi="Times New Roman" w:cs="Times New Roman"/>
      <w:color w:val="000000"/>
      <w:sz w:val="24"/>
      <w:szCs w:val="24"/>
      <w:u w:val="none"/>
    </w:rPr>
  </w:style>
  <w:style w:type="character" w:customStyle="1" w:styleId="39">
    <w:name w:val="font31"/>
    <w:qFormat/>
    <w:uiPriority w:val="0"/>
    <w:rPr>
      <w:rFonts w:ascii="宋体" w:hAnsi="宋体" w:eastAsia="宋体" w:cs="宋体"/>
      <w:color w:val="000000"/>
      <w:sz w:val="24"/>
      <w:szCs w:val="24"/>
      <w:u w:val="none"/>
      <w:vertAlign w:val="superscript"/>
    </w:rPr>
  </w:style>
  <w:style w:type="character" w:customStyle="1" w:styleId="40">
    <w:name w:val="NormalCharacter"/>
    <w:qFormat/>
    <w:uiPriority w:val="0"/>
  </w:style>
  <w:style w:type="paragraph" w:customStyle="1" w:styleId="41">
    <w:name w:val="列表编号1"/>
    <w:basedOn w:val="1"/>
    <w:qFormat/>
    <w:uiPriority w:val="0"/>
    <w:pPr>
      <w:widowControl/>
      <w:numPr>
        <w:ilvl w:val="0"/>
        <w:numId w:val="2"/>
      </w:numPr>
      <w:tabs>
        <w:tab w:val="left" w:pos="454"/>
        <w:tab w:val="left" w:pos="720"/>
      </w:tabs>
      <w:spacing w:after="156"/>
      <w:ind w:left="1354" w:hanging="284"/>
      <w:jc w:val="left"/>
    </w:pPr>
    <w:rPr>
      <w:kern w:val="0"/>
      <w:sz w:val="24"/>
      <w:szCs w:val="20"/>
    </w:rPr>
  </w:style>
  <w:style w:type="paragraph" w:customStyle="1" w:styleId="42">
    <w:name w:val="纯文本1"/>
    <w:basedOn w:val="1"/>
    <w:next w:val="1"/>
    <w:qFormat/>
    <w:uiPriority w:val="0"/>
    <w:pPr>
      <w:spacing w:before="156" w:after="156" w:line="400" w:lineRule="exact"/>
    </w:pPr>
    <w:rPr>
      <w:rFonts w:ascii="宋体" w:hAnsi="宋体" w:cs="Courier New"/>
      <w:sz w:val="24"/>
    </w:rPr>
  </w:style>
  <w:style w:type="paragraph" w:customStyle="1" w:styleId="43">
    <w:name w:val="正文文本缩进 31"/>
    <w:basedOn w:val="1"/>
    <w:qFormat/>
    <w:uiPriority w:val="0"/>
    <w:pPr>
      <w:snapToGrid w:val="0"/>
      <w:ind w:firstLine="480"/>
      <w:jc w:val="left"/>
    </w:pPr>
    <w:rPr>
      <w:rFonts w:ascii="仿宋_GB2312;仿宋" w:hAnsi="仿宋_GB2312;仿宋" w:eastAsia="仿宋_GB2312;仿宋" w:cs="宋体"/>
      <w:color w:val="000000"/>
      <w:sz w:val="24"/>
    </w:rPr>
  </w:style>
  <w:style w:type="paragraph" w:customStyle="1" w:styleId="44">
    <w:name w:val="默认段落字体 Para Char Char Char Char Char Char Char Char Char1 Char Char Char Char"/>
    <w:basedOn w:val="1"/>
    <w:qFormat/>
    <w:uiPriority w:val="0"/>
    <w:rPr>
      <w:rFonts w:ascii="Tahoma" w:hAnsi="Tahoma" w:cs="Tahoma"/>
      <w:sz w:val="24"/>
      <w:szCs w:val="20"/>
    </w:rPr>
  </w:style>
  <w:style w:type="paragraph" w:styleId="45">
    <w:name w:val="List Paragraph"/>
    <w:basedOn w:val="1"/>
    <w:qFormat/>
    <w:uiPriority w:val="34"/>
    <w:pPr>
      <w:ind w:firstLine="420" w:firstLineChars="200"/>
    </w:pPr>
  </w:style>
  <w:style w:type="character" w:customStyle="1" w:styleId="46">
    <w:name w:val="font41"/>
    <w:basedOn w:val="22"/>
    <w:qFormat/>
    <w:uiPriority w:val="0"/>
    <w:rPr>
      <w:rFonts w:ascii="Tahoma" w:hAnsi="Tahoma" w:eastAsia="Tahoma" w:cs="Tahoma"/>
      <w:color w:val="000000"/>
      <w:sz w:val="18"/>
      <w:szCs w:val="18"/>
      <w:u w:val="none"/>
    </w:rPr>
  </w:style>
  <w:style w:type="character" w:customStyle="1" w:styleId="47">
    <w:name w:val="font51"/>
    <w:qFormat/>
    <w:uiPriority w:val="0"/>
    <w:rPr>
      <w:rFonts w:hint="eastAsia" w:ascii="宋体" w:hAnsi="宋体" w:eastAsia="宋体" w:cs="宋体"/>
      <w:color w:val="000000"/>
      <w:sz w:val="20"/>
      <w:szCs w:val="20"/>
      <w:u w:val="none"/>
    </w:rPr>
  </w:style>
  <w:style w:type="character" w:customStyle="1" w:styleId="48">
    <w:name w:val="font61"/>
    <w:qFormat/>
    <w:uiPriority w:val="0"/>
    <w:rPr>
      <w:rFonts w:hint="eastAsia" w:ascii="宋体" w:hAnsi="宋体" w:eastAsia="宋体" w:cs="宋体"/>
      <w:color w:val="000000"/>
      <w:sz w:val="20"/>
      <w:szCs w:val="20"/>
      <w:u w:val="none"/>
    </w:rPr>
  </w:style>
  <w:style w:type="character" w:customStyle="1" w:styleId="49">
    <w:name w:val="font01"/>
    <w:basedOn w:val="22"/>
    <w:qFormat/>
    <w:uiPriority w:val="0"/>
    <w:rPr>
      <w:rFonts w:hint="eastAsia" w:ascii="微软雅黑" w:hAnsi="微软雅黑" w:eastAsia="微软雅黑" w:cs="微软雅黑"/>
      <w:color w:val="000000"/>
      <w:sz w:val="18"/>
      <w:szCs w:val="18"/>
      <w:u w:val="none"/>
    </w:rPr>
  </w:style>
  <w:style w:type="paragraph" w:customStyle="1" w:styleId="50">
    <w:name w:val="内文正文"/>
    <w:qFormat/>
    <w:uiPriority w:val="0"/>
    <w:pPr>
      <w:adjustRightInd w:val="0"/>
      <w:snapToGrid w:val="0"/>
      <w:spacing w:line="400" w:lineRule="exact"/>
      <w:ind w:firstLine="200" w:firstLineChars="200"/>
    </w:pPr>
    <w:rPr>
      <w:rFonts w:ascii="Arial" w:hAnsi="Arial" w:eastAsia="宋体" w:cs="Times New Roman"/>
      <w:color w:val="000000"/>
      <w:kern w:val="2"/>
      <w:sz w:val="21"/>
      <w:szCs w:val="21"/>
      <w:lang w:val="en-US" w:eastAsia="zh-CN" w:bidi="ar-SA"/>
    </w:rPr>
  </w:style>
  <w:style w:type="paragraph" w:customStyle="1" w:styleId="51">
    <w:name w:val="表格文字"/>
    <w:next w:val="5"/>
    <w:qFormat/>
    <w:locked/>
    <w:uiPriority w:val="0"/>
    <w:pPr>
      <w:spacing w:beforeLines="25" w:afterLines="25"/>
      <w:jc w:val="center"/>
    </w:pPr>
    <w:rPr>
      <w:rFonts w:ascii="Times New Roman" w:hAnsi="Times New Roman" w:eastAsia="宋体" w:cs="Times New Roman"/>
      <w:kern w:val="2"/>
      <w:sz w:val="24"/>
      <w:szCs w:val="28"/>
      <w:lang w:val="en-US" w:eastAsia="zh-CN" w:bidi="ar-SA"/>
    </w:rPr>
  </w:style>
  <w:style w:type="character" w:customStyle="1" w:styleId="52">
    <w:name w:val="font21"/>
    <w:basedOn w:val="22"/>
    <w:qFormat/>
    <w:uiPriority w:val="0"/>
    <w:rPr>
      <w:rFonts w:hint="eastAsia" w:ascii="微软雅黑" w:hAnsi="微软雅黑" w:eastAsia="微软雅黑" w:cs="微软雅黑"/>
      <w:color w:val="000000"/>
      <w:sz w:val="18"/>
      <w:szCs w:val="18"/>
      <w:u w:val="none"/>
    </w:rPr>
  </w:style>
  <w:style w:type="paragraph" w:customStyle="1" w:styleId="53">
    <w:name w:val="正文2"/>
    <w:basedOn w:val="1"/>
    <w:qFormat/>
    <w:uiPriority w:val="0"/>
    <w:pPr>
      <w:spacing w:before="156" w:line="360" w:lineRule="auto"/>
      <w:ind w:firstLine="510" w:firstLineChars="200"/>
    </w:pPr>
    <w:rPr>
      <w:sz w:val="24"/>
      <w:szCs w:val="20"/>
    </w:rPr>
  </w:style>
  <w:style w:type="character" w:customStyle="1" w:styleId="54">
    <w:name w:val="first-child"/>
    <w:basedOn w:val="22"/>
    <w:qFormat/>
    <w:uiPriority w:val="0"/>
  </w:style>
  <w:style w:type="character" w:customStyle="1" w:styleId="55">
    <w:name w:val="layui-this"/>
    <w:basedOn w:val="22"/>
    <w:qFormat/>
    <w:uiPriority w:val="0"/>
    <w:rPr>
      <w:bdr w:val="single" w:color="EEEEEE" w:sz="6" w:space="0"/>
      <w:shd w:val="clear" w:color="auto" w:fill="FFFFFF"/>
    </w:rPr>
  </w:style>
  <w:style w:type="character" w:customStyle="1" w:styleId="56">
    <w:name w:val="hover11"/>
    <w:basedOn w:val="22"/>
    <w:qFormat/>
    <w:uiPriority w:val="0"/>
    <w:rPr>
      <w:color w:val="1258AD"/>
      <w:u w:val="none"/>
      <w:bdr w:val="single" w:color="1258AD" w:sz="6" w:space="0"/>
    </w:rPr>
  </w:style>
  <w:style w:type="character" w:customStyle="1" w:styleId="57">
    <w:name w:val="font91"/>
    <w:qFormat/>
    <w:uiPriority w:val="0"/>
    <w:rPr>
      <w:rFonts w:hint="eastAsia" w:ascii="宋体" w:hAnsi="宋体" w:eastAsia="宋体" w:cs="宋体"/>
      <w:color w:val="000000"/>
      <w:sz w:val="24"/>
      <w:szCs w:val="24"/>
      <w:u w:val="none"/>
    </w:rPr>
  </w:style>
  <w:style w:type="paragraph" w:customStyle="1" w:styleId="58">
    <w:name w:val="样式 正文文本缩进 + 左  0 字符"/>
    <w:basedOn w:val="3"/>
    <w:qFormat/>
    <w:uiPriority w:val="99"/>
    <w:pPr>
      <w:spacing w:line="360" w:lineRule="auto"/>
      <w:ind w:firstLine="250" w:firstLineChars="250"/>
    </w:pPr>
    <w:rPr>
      <w:sz w:val="24"/>
    </w:rPr>
  </w:style>
  <w:style w:type="paragraph" w:customStyle="1" w:styleId="59">
    <w:name w:val="_Style 58"/>
    <w:basedOn w:val="1"/>
    <w:next w:val="45"/>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2881</Words>
  <Characters>16423</Characters>
  <Lines>136</Lines>
  <Paragraphs>38</Paragraphs>
  <TotalTime>22</TotalTime>
  <ScaleCrop>false</ScaleCrop>
  <LinksUpToDate>false</LinksUpToDate>
  <CharactersWithSpaces>19266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2021-10-08T07:04:00Z</dcterms:created>
  <dc:creator>vilibook</dc:creator>
  <cp:lastModifiedBy>Administrator</cp:lastModifiedBy>
  <cp:lastPrinted>2021-10-08T08:10:00Z</cp:lastPrinted>
  <dcterms:modified xsi:type="dcterms:W3CDTF">2021-11-17T06:58:02Z</dcterms:modified>
  <dc:title>浙江泰宁建设工程管理咨询有限公司</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0B0FD92D051B4880958ABE549895C4C4</vt:lpwstr>
  </property>
  <property fmtid="{D5CDD505-2E9C-101B-9397-08002B2CF9AE}" pid="3" name="KSOProductBuildVer">
    <vt:lpwstr>2052-11.1.0.11045</vt:lpwstr>
  </property>
</Properties>
</file>