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000000" w:themeColor="text1"/>
          <w14:textFill>
            <w14:solidFill>
              <w14:schemeClr w14:val="tx1"/>
            </w14:solidFill>
          </w14:textFill>
        </w:rPr>
      </w:pPr>
    </w:p>
    <w:p>
      <w:pPr>
        <w:pStyle w:val="2"/>
        <w:ind w:firstLine="0" w:firstLineChars="0"/>
        <w:jc w:val="center"/>
        <w:rPr>
          <w:b/>
          <w:bCs/>
          <w:color w:val="000000" w:themeColor="text1"/>
          <w:sz w:val="52"/>
          <w:szCs w:val="52"/>
          <w14:textFill>
            <w14:solidFill>
              <w14:schemeClr w14:val="tx1"/>
            </w14:solidFill>
          </w14:textFill>
        </w:rPr>
      </w:pPr>
    </w:p>
    <w:p>
      <w:pPr>
        <w:pStyle w:val="2"/>
        <w:ind w:firstLine="0" w:firstLineChars="0"/>
        <w:jc w:val="center"/>
        <w:rPr>
          <w:b/>
          <w:bCs/>
          <w:color w:val="000000" w:themeColor="text1"/>
          <w:sz w:val="52"/>
          <w:szCs w:val="52"/>
          <w14:textFill>
            <w14:solidFill>
              <w14:schemeClr w14:val="tx1"/>
            </w14:solidFill>
          </w14:textFill>
        </w:rPr>
      </w:pPr>
    </w:p>
    <w:p>
      <w:pPr>
        <w:pStyle w:val="2"/>
        <w:ind w:firstLine="0" w:firstLineChars="0"/>
        <w:jc w:val="center"/>
        <w:rPr>
          <w:b/>
          <w:bCs/>
          <w:color w:val="000000" w:themeColor="text1"/>
          <w:sz w:val="36"/>
          <w:szCs w:val="44"/>
          <w14:textFill>
            <w14:solidFill>
              <w14:schemeClr w14:val="tx1"/>
            </w14:solidFill>
          </w14:textFill>
        </w:rPr>
      </w:pPr>
      <w:r>
        <w:rPr>
          <w:rFonts w:hint="eastAsia"/>
          <w:b/>
          <w:bCs/>
          <w:color w:val="000000" w:themeColor="text1"/>
          <w:sz w:val="72"/>
          <w:szCs w:val="72"/>
          <w14:textFill>
            <w14:solidFill>
              <w14:schemeClr w14:val="tx1"/>
            </w14:solidFill>
          </w14:textFill>
        </w:rPr>
        <w:t>浙江广厦建设职业技术大学</w:t>
      </w:r>
    </w:p>
    <w:p>
      <w:pPr>
        <w:rPr>
          <w:rFonts w:hint="eastAsia"/>
        </w:rPr>
      </w:pPr>
    </w:p>
    <w:p>
      <w:pPr>
        <w:pStyle w:val="2"/>
        <w:ind w:firstLine="0" w:firstLineChars="0"/>
        <w:jc w:val="center"/>
        <w:rPr>
          <w:rFonts w:hint="eastAsia" w:eastAsia="宋体"/>
          <w:b/>
          <w:bCs/>
          <w:color w:val="000000" w:themeColor="text1"/>
          <w:sz w:val="36"/>
          <w:szCs w:val="44"/>
          <w:lang w:eastAsia="zh-CN"/>
          <w14:textFill>
            <w14:solidFill>
              <w14:schemeClr w14:val="tx1"/>
            </w14:solidFill>
          </w14:textFill>
        </w:rPr>
      </w:pPr>
      <w:r>
        <w:rPr>
          <w:rFonts w:hint="eastAsia"/>
          <w:b/>
          <w:bCs/>
          <w:color w:val="000000" w:themeColor="text1"/>
          <w:sz w:val="52"/>
          <w:szCs w:val="52"/>
          <w:lang w:eastAsia="zh-CN"/>
          <w14:textFill>
            <w14:solidFill>
              <w14:schemeClr w14:val="tx1"/>
            </w14:solidFill>
          </w14:textFill>
        </w:rPr>
        <w:t>无线耳机采购项目</w:t>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spacing w:before="156"/>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lang w:eastAsia="zh-CN"/>
          <w14:textFill>
            <w14:solidFill>
              <w14:schemeClr w14:val="tx1"/>
            </w14:solidFill>
          </w14:textFill>
        </w:rPr>
        <w:t>竞争性谈判采购</w:t>
      </w:r>
      <w:r>
        <w:rPr>
          <w:rFonts w:ascii="宋体" w:hAnsi="宋体" w:cs="宋体"/>
          <w:b/>
          <w:color w:val="000000" w:themeColor="text1"/>
          <w:sz w:val="72"/>
          <w:szCs w:val="72"/>
          <w14:textFill>
            <w14:solidFill>
              <w14:schemeClr w14:val="tx1"/>
            </w14:solidFill>
          </w14:textFill>
        </w:rPr>
        <w:t>文件</w:t>
      </w:r>
    </w:p>
    <w:p>
      <w:pPr>
        <w:pStyle w:val="4"/>
        <w:rPr>
          <w:color w:val="000000" w:themeColor="text1"/>
          <w14:textFill>
            <w14:solidFill>
              <w14:schemeClr w14:val="tx1"/>
            </w14:solidFill>
          </w14:textFill>
        </w:rPr>
      </w:pPr>
    </w:p>
    <w:p>
      <w:pPr>
        <w:pStyle w:val="4"/>
        <w:ind w:left="0"/>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35"/>
        <w:ind w:left="0" w:firstLine="0"/>
        <w:rPr>
          <w:color w:val="000000" w:themeColor="text1"/>
          <w14:textFill>
            <w14:solidFill>
              <w14:schemeClr w14:val="tx1"/>
            </w14:solidFill>
          </w14:textFill>
        </w:rPr>
      </w:pPr>
    </w:p>
    <w:p>
      <w:pPr>
        <w:pStyle w:val="35"/>
        <w:ind w:left="0" w:firstLine="0"/>
        <w:rPr>
          <w:color w:val="000000" w:themeColor="text1"/>
          <w14:textFill>
            <w14:solidFill>
              <w14:schemeClr w14:val="tx1"/>
            </w14:solidFill>
          </w14:textFill>
        </w:rPr>
      </w:pPr>
    </w:p>
    <w:p>
      <w:pPr>
        <w:pStyle w:val="35"/>
        <w:ind w:left="0" w:firstLine="0"/>
        <w:rPr>
          <w:color w:val="000000" w:themeColor="text1"/>
          <w14:textFill>
            <w14:solidFill>
              <w14:schemeClr w14:val="tx1"/>
            </w14:solidFill>
          </w14:textFill>
        </w:rPr>
      </w:pPr>
    </w:p>
    <w:p>
      <w:pPr>
        <w:pStyle w:val="44"/>
        <w:snapToGrid w:val="0"/>
        <w:spacing w:before="50" w:line="560" w:lineRule="exact"/>
        <w:ind w:firstLine="602" w:firstLineChars="200"/>
        <w:rPr>
          <w:rFonts w:hint="eastAsia" w:eastAsia="宋体" w:cs="宋体"/>
          <w:b/>
          <w:bCs/>
          <w:color w:val="000000" w:themeColor="text1"/>
          <w:sz w:val="30"/>
          <w:szCs w:val="30"/>
          <w:lang w:eastAsia="zh-CN"/>
          <w14:textFill>
            <w14:solidFill>
              <w14:schemeClr w14:val="tx1"/>
            </w14:solidFill>
          </w14:textFill>
        </w:rPr>
      </w:pPr>
      <w:r>
        <w:rPr>
          <w:rFonts w:cs="宋体"/>
          <w:b/>
          <w:bCs/>
          <w:color w:val="000000" w:themeColor="text1"/>
          <w:sz w:val="30"/>
          <w:szCs w:val="30"/>
          <w14:textFill>
            <w14:solidFill>
              <w14:schemeClr w14:val="tx1"/>
            </w14:solidFill>
          </w14:textFill>
        </w:rPr>
        <w:t>项目编号：</w:t>
      </w:r>
      <w:r>
        <w:rPr>
          <w:rFonts w:hint="eastAsia" w:cs="宋体"/>
          <w:b/>
          <w:bCs/>
          <w:color w:val="000000" w:themeColor="text1"/>
          <w:sz w:val="30"/>
          <w:szCs w:val="30"/>
          <w:lang w:eastAsia="zh-CN"/>
          <w14:textFill>
            <w14:solidFill>
              <w14:schemeClr w14:val="tx1"/>
            </w14:solidFill>
          </w14:textFill>
        </w:rPr>
        <w:t>ZJGS2021-C018</w:t>
      </w:r>
    </w:p>
    <w:p>
      <w:pPr>
        <w:pStyle w:val="44"/>
        <w:snapToGrid w:val="0"/>
        <w:spacing w:before="50" w:line="560" w:lineRule="exact"/>
        <w:ind w:left="2107" w:leftChars="286" w:hanging="1506" w:hangingChars="500"/>
        <w:rPr>
          <w:rFonts w:hint="eastAsia" w:eastAsia="宋体" w:cs="宋体"/>
          <w:b/>
          <w:bCs/>
          <w:color w:val="000000" w:themeColor="text1"/>
          <w:sz w:val="30"/>
          <w:szCs w:val="30"/>
          <w:lang w:eastAsia="zh-CN"/>
          <w14:textFill>
            <w14:solidFill>
              <w14:schemeClr w14:val="tx1"/>
            </w14:solidFill>
          </w14:textFill>
        </w:rPr>
      </w:pPr>
      <w:r>
        <w:rPr>
          <w:rFonts w:cs="宋体"/>
          <w:b/>
          <w:bCs/>
          <w:color w:val="000000" w:themeColor="text1"/>
          <w:sz w:val="30"/>
          <w:szCs w:val="30"/>
          <w14:textFill>
            <w14:solidFill>
              <w14:schemeClr w14:val="tx1"/>
            </w14:solidFill>
          </w14:textFill>
        </w:rPr>
        <w:t>项目名称：</w:t>
      </w:r>
      <w:r>
        <w:rPr>
          <w:rFonts w:hint="eastAsia" w:cs="宋体"/>
          <w:b/>
          <w:bCs/>
          <w:color w:val="000000" w:themeColor="text1"/>
          <w:sz w:val="30"/>
          <w:szCs w:val="30"/>
          <w14:textFill>
            <w14:solidFill>
              <w14:schemeClr w14:val="tx1"/>
            </w14:solidFill>
          </w14:textFill>
        </w:rPr>
        <w:t>浙江广厦建设职业技术大学</w:t>
      </w:r>
      <w:r>
        <w:rPr>
          <w:rFonts w:hint="eastAsia" w:cs="宋体"/>
          <w:b/>
          <w:bCs/>
          <w:color w:val="000000" w:themeColor="text1"/>
          <w:sz w:val="30"/>
          <w:szCs w:val="30"/>
          <w:lang w:eastAsia="zh-CN"/>
          <w14:textFill>
            <w14:solidFill>
              <w14:schemeClr w14:val="tx1"/>
            </w14:solidFill>
          </w14:textFill>
        </w:rPr>
        <w:t>无线耳机采购项目</w:t>
      </w:r>
    </w:p>
    <w:p>
      <w:pPr>
        <w:pStyle w:val="44"/>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采购单位：浙江广厦建设职业技术大学</w:t>
      </w:r>
    </w:p>
    <w:p>
      <w:pPr>
        <w:pStyle w:val="44"/>
        <w:snapToGrid w:val="0"/>
        <w:spacing w:before="50" w:line="560" w:lineRule="exact"/>
        <w:jc w:val="center"/>
        <w:rPr>
          <w:rFonts w:cs="宋体"/>
          <w:b/>
          <w:bCs/>
          <w:color w:val="000000" w:themeColor="text1"/>
          <w:sz w:val="30"/>
          <w:szCs w:val="30"/>
          <w14:textFill>
            <w14:solidFill>
              <w14:schemeClr w14:val="tx1"/>
            </w14:solidFill>
          </w14:textFill>
        </w:rPr>
      </w:pPr>
    </w:p>
    <w:p>
      <w:pPr>
        <w:pStyle w:val="44"/>
        <w:snapToGrid w:val="0"/>
        <w:spacing w:before="50" w:line="560" w:lineRule="exact"/>
        <w:jc w:val="center"/>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lang w:eastAsia="zh-CN"/>
          <w14:textFill>
            <w14:solidFill>
              <w14:schemeClr w14:val="tx1"/>
            </w14:solidFill>
          </w14:textFill>
        </w:rPr>
        <w:t>2021年11月1</w:t>
      </w:r>
      <w:r>
        <w:rPr>
          <w:rFonts w:hint="eastAsia" w:cs="宋体"/>
          <w:b/>
          <w:bCs/>
          <w:color w:val="000000" w:themeColor="text1"/>
          <w:sz w:val="30"/>
          <w:szCs w:val="30"/>
          <w:lang w:val="en-US" w:eastAsia="zh-CN"/>
          <w14:textFill>
            <w14:solidFill>
              <w14:schemeClr w14:val="tx1"/>
            </w14:solidFill>
          </w14:textFill>
        </w:rPr>
        <w:t>7</w:t>
      </w:r>
      <w:r>
        <w:rPr>
          <w:rFonts w:hint="eastAsia" w:cs="宋体"/>
          <w:b/>
          <w:bCs/>
          <w:color w:val="000000" w:themeColor="text1"/>
          <w:sz w:val="30"/>
          <w:szCs w:val="30"/>
          <w:lang w:eastAsia="zh-CN"/>
          <w14:textFill>
            <w14:solidFill>
              <w14:schemeClr w14:val="tx1"/>
            </w14:solidFill>
          </w14:textFill>
        </w:rPr>
        <w:t>日</w:t>
      </w:r>
      <w:r>
        <w:rPr>
          <w:color w:val="000000" w:themeColor="text1"/>
          <w14:textFill>
            <w14:solidFill>
              <w14:schemeClr w14:val="tx1"/>
            </w14:solidFill>
          </w14:textFill>
        </w:rPr>
        <w:br w:type="page"/>
      </w:r>
    </w:p>
    <w:p>
      <w:pPr>
        <w:pStyle w:val="44"/>
        <w:snapToGrid w:val="0"/>
        <w:spacing w:line="360" w:lineRule="auto"/>
        <w:jc w:val="center"/>
        <w:rPr>
          <w:rFonts w:ascii="黑体" w:hAnsi="黑体" w:eastAsia="黑体" w:cs="宋体"/>
          <w:color w:val="000000" w:themeColor="text1"/>
          <w:sz w:val="44"/>
          <w:szCs w:val="48"/>
          <w:highlight w:val="red"/>
          <w14:textFill>
            <w14:solidFill>
              <w14:schemeClr w14:val="tx1"/>
            </w14:solidFill>
          </w14:textFill>
        </w:rPr>
      </w:pPr>
      <w:r>
        <w:rPr>
          <w:rFonts w:ascii="黑体" w:hAnsi="黑体" w:eastAsia="黑体" w:cs="宋体"/>
          <w:color w:val="000000" w:themeColor="text1"/>
          <w:sz w:val="44"/>
          <w:szCs w:val="48"/>
          <w14:textFill>
            <w14:solidFill>
              <w14:schemeClr w14:val="tx1"/>
            </w14:solidFill>
          </w14:textFill>
        </w:rPr>
        <w:t>目录</w:t>
      </w:r>
    </w:p>
    <w:p>
      <w:pPr>
        <w:pStyle w:val="16"/>
        <w:tabs>
          <w:tab w:val="right" w:leader="dot" w:pos="9070"/>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\z \u</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_Toc29436 </w:instrText>
      </w:r>
      <w:r>
        <w:fldChar w:fldCharType="separate"/>
      </w:r>
      <w:r>
        <w:t xml:space="preserve">第一章  </w:t>
      </w:r>
      <w:r>
        <w:rPr>
          <w:rFonts w:hint="eastAsia"/>
        </w:rPr>
        <w:t>竞争性谈判</w:t>
      </w:r>
      <w:r>
        <w:t>公告</w:t>
      </w:r>
      <w:r>
        <w:tab/>
      </w:r>
      <w:r>
        <w:fldChar w:fldCharType="begin"/>
      </w:r>
      <w:r>
        <w:instrText xml:space="preserve"> PAGEREF _Toc29436 \h </w:instrText>
      </w:r>
      <w:r>
        <w:fldChar w:fldCharType="separate"/>
      </w:r>
      <w:r>
        <w:t>3</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_Toc28700 </w:instrText>
      </w:r>
      <w:r>
        <w:fldChar w:fldCharType="separate"/>
      </w:r>
      <w:r>
        <w:rPr>
          <w:rFonts w:asciiTheme="majorEastAsia" w:hAnsiTheme="majorEastAsia" w:eastAsiaTheme="majorEastAsia"/>
          <w:szCs w:val="32"/>
        </w:rPr>
        <w:t xml:space="preserve">第二章  </w:t>
      </w:r>
      <w:r>
        <w:rPr>
          <w:rFonts w:hint="eastAsia" w:cs="宋体" w:asciiTheme="majorEastAsia" w:hAnsiTheme="majorEastAsia" w:eastAsiaTheme="majorEastAsia"/>
          <w:szCs w:val="32"/>
        </w:rPr>
        <w:t>采购项目需求</w:t>
      </w:r>
      <w:r>
        <w:tab/>
      </w:r>
      <w:r>
        <w:fldChar w:fldCharType="begin"/>
      </w:r>
      <w:r>
        <w:instrText xml:space="preserve"> PAGEREF _Toc28700 \h </w:instrText>
      </w:r>
      <w:r>
        <w:fldChar w:fldCharType="separate"/>
      </w:r>
      <w:r>
        <w:t>6</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_Toc9075 </w:instrText>
      </w:r>
      <w:r>
        <w:fldChar w:fldCharType="separate"/>
      </w:r>
      <w:r>
        <w:rPr>
          <w:rFonts w:asciiTheme="minorEastAsia" w:hAnsiTheme="minorEastAsia" w:eastAsiaTheme="minorEastAsia"/>
          <w:szCs w:val="32"/>
        </w:rPr>
        <w:t xml:space="preserve">第三章  </w:t>
      </w:r>
      <w:r>
        <w:rPr>
          <w:rFonts w:hint="eastAsia" w:asciiTheme="minorEastAsia" w:hAnsiTheme="minorEastAsia" w:eastAsiaTheme="minorEastAsia"/>
          <w:szCs w:val="32"/>
        </w:rPr>
        <w:t>竞争性谈判须知</w:t>
      </w:r>
      <w:r>
        <w:tab/>
      </w:r>
      <w:r>
        <w:fldChar w:fldCharType="begin"/>
      </w:r>
      <w:r>
        <w:instrText xml:space="preserve"> PAGEREF _Toc9075 \h </w:instrText>
      </w:r>
      <w:r>
        <w:fldChar w:fldCharType="separate"/>
      </w:r>
      <w:r>
        <w:t>8</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_Toc29622 </w:instrText>
      </w:r>
      <w:r>
        <w:fldChar w:fldCharType="separate"/>
      </w:r>
      <w:r>
        <w:rPr>
          <w:rFonts w:hint="eastAsia" w:ascii="宋体" w:hAnsi="宋体" w:cs="宋体"/>
          <w:szCs w:val="32"/>
        </w:rPr>
        <w:t>第五章 谈判方法和程序</w:t>
      </w:r>
      <w:r>
        <w:tab/>
      </w:r>
      <w:r>
        <w:fldChar w:fldCharType="begin"/>
      </w:r>
      <w:r>
        <w:instrText xml:space="preserve"> PAGEREF _Toc29622 \h </w:instrText>
      </w:r>
      <w:r>
        <w:fldChar w:fldCharType="separate"/>
      </w:r>
      <w:r>
        <w:t>14</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_Toc17605 </w:instrText>
      </w:r>
      <w:r>
        <w:fldChar w:fldCharType="separate"/>
      </w:r>
      <w:r>
        <w:rPr>
          <w:rFonts w:ascii="宋体" w:hAnsi="宋体" w:cs="宋体"/>
          <w:bCs/>
          <w:szCs w:val="32"/>
        </w:rPr>
        <w:t>第</w:t>
      </w:r>
      <w:r>
        <w:rPr>
          <w:rFonts w:hint="eastAsia" w:ascii="宋体" w:hAnsi="宋体" w:cs="宋体"/>
          <w:bCs/>
          <w:szCs w:val="32"/>
        </w:rPr>
        <w:t>六</w:t>
      </w:r>
      <w:r>
        <w:rPr>
          <w:rFonts w:ascii="宋体" w:hAnsi="宋体" w:cs="宋体"/>
          <w:bCs/>
          <w:szCs w:val="32"/>
        </w:rPr>
        <w:t>章  采购合同主要条款</w:t>
      </w:r>
      <w:r>
        <w:tab/>
      </w:r>
      <w:r>
        <w:fldChar w:fldCharType="begin"/>
      </w:r>
      <w:r>
        <w:instrText xml:space="preserve"> PAGEREF _Toc17605 \h </w:instrText>
      </w:r>
      <w:r>
        <w:fldChar w:fldCharType="separate"/>
      </w:r>
      <w:r>
        <w:t>17</w:t>
      </w:r>
      <w:r>
        <w:fldChar w:fldCharType="end"/>
      </w:r>
      <w:r>
        <w:rPr>
          <w:color w:val="000000" w:themeColor="text1"/>
          <w14:textFill>
            <w14:solidFill>
              <w14:schemeClr w14:val="tx1"/>
            </w14:solidFill>
          </w14:textFill>
        </w:rPr>
        <w:fldChar w:fldCharType="end"/>
      </w:r>
    </w:p>
    <w:p>
      <w:pPr>
        <w:pStyle w:val="18"/>
        <w:tabs>
          <w:tab w:val="right" w:leader="dot" w:pos="9070"/>
        </w:tabs>
      </w:pPr>
      <w:r>
        <w:rPr>
          <w:color w:val="000000" w:themeColor="text1"/>
          <w14:textFill>
            <w14:solidFill>
              <w14:schemeClr w14:val="tx1"/>
            </w14:solidFill>
          </w14:textFill>
        </w:rPr>
        <w:fldChar w:fldCharType="begin"/>
      </w:r>
      <w:r>
        <w:instrText xml:space="preserve"> HYPERLINK \l _Toc18948 </w:instrText>
      </w:r>
      <w:r>
        <w:fldChar w:fldCharType="separate"/>
      </w:r>
      <w:r>
        <w:rPr>
          <w:rFonts w:ascii="宋体" w:hAnsi="宋体" w:cs="宋体"/>
        </w:rPr>
        <w:t>采购合同（样本）</w:t>
      </w:r>
      <w:r>
        <w:tab/>
      </w:r>
      <w:r>
        <w:fldChar w:fldCharType="begin"/>
      </w:r>
      <w:r>
        <w:instrText xml:space="preserve"> PAGEREF _Toc18948 \h </w:instrText>
      </w:r>
      <w:r>
        <w:fldChar w:fldCharType="separate"/>
      </w:r>
      <w:r>
        <w:t>17</w:t>
      </w:r>
      <w:r>
        <w:fldChar w:fldCharType="end"/>
      </w:r>
      <w:r>
        <w:rPr>
          <w:color w:val="000000" w:themeColor="text1"/>
          <w14:textFill>
            <w14:solidFill>
              <w14:schemeClr w14:val="tx1"/>
            </w14:solidFill>
          </w14:textFill>
        </w:rPr>
        <w:fldChar w:fldCharType="end"/>
      </w:r>
    </w:p>
    <w:p>
      <w:pPr>
        <w:pStyle w:val="16"/>
        <w:tabs>
          <w:tab w:val="right" w:leader="dot" w:pos="9070"/>
        </w:tabs>
      </w:pPr>
      <w:r>
        <w:rPr>
          <w:color w:val="000000" w:themeColor="text1"/>
          <w14:textFill>
            <w14:solidFill>
              <w14:schemeClr w14:val="tx1"/>
            </w14:solidFill>
          </w14:textFill>
        </w:rPr>
        <w:fldChar w:fldCharType="begin"/>
      </w:r>
      <w:r>
        <w:instrText xml:space="preserve"> HYPERLINK \l _Toc22322 </w:instrText>
      </w:r>
      <w:r>
        <w:fldChar w:fldCharType="separate"/>
      </w:r>
      <w:r>
        <w:rPr>
          <w:rFonts w:hint="eastAsia" w:ascii="宋体" w:hAnsi="宋体" w:cs="宋体"/>
          <w:szCs w:val="32"/>
        </w:rPr>
        <w:t>第七章  谈判响应文件附件格式</w:t>
      </w:r>
      <w:r>
        <w:tab/>
      </w:r>
      <w:r>
        <w:fldChar w:fldCharType="begin"/>
      </w:r>
      <w:r>
        <w:instrText xml:space="preserve"> PAGEREF _Toc22322 \h </w:instrText>
      </w:r>
      <w:r>
        <w:fldChar w:fldCharType="separate"/>
      </w:r>
      <w:r>
        <w:t>21</w:t>
      </w:r>
      <w:r>
        <w:fldChar w:fldCharType="end"/>
      </w:r>
      <w:r>
        <w:rPr>
          <w:color w:val="000000" w:themeColor="text1"/>
          <w14:textFill>
            <w14:solidFill>
              <w14:schemeClr w14:val="tx1"/>
            </w14:solidFill>
          </w14:textFill>
        </w:rPr>
        <w:fldChar w:fldCharType="end"/>
      </w:r>
    </w:p>
    <w:p>
      <w:pPr>
        <w:pStyle w:val="18"/>
        <w:tabs>
          <w:tab w:val="right" w:leader="dot" w:pos="9070"/>
        </w:tabs>
      </w:pPr>
      <w:r>
        <w:rPr>
          <w:color w:val="000000" w:themeColor="text1"/>
          <w14:textFill>
            <w14:solidFill>
              <w14:schemeClr w14:val="tx1"/>
            </w14:solidFill>
          </w14:textFill>
        </w:rPr>
        <w:fldChar w:fldCharType="begin"/>
      </w:r>
      <w:r>
        <w:instrText xml:space="preserve"> HYPERLINK \l _Toc1620 </w:instrText>
      </w:r>
      <w:r>
        <w:fldChar w:fldCharType="separate"/>
      </w:r>
      <w:r>
        <w:rPr>
          <w:rFonts w:hint="eastAsia" w:ascii="宋体" w:hAnsi="宋体" w:cs="宋体"/>
          <w:bCs/>
          <w:szCs w:val="32"/>
        </w:rPr>
        <w:t>附件一：投 标 书</w:t>
      </w:r>
      <w:r>
        <w:tab/>
      </w:r>
      <w:r>
        <w:fldChar w:fldCharType="begin"/>
      </w:r>
      <w:r>
        <w:instrText xml:space="preserve"> PAGEREF _Toc1620 \h </w:instrText>
      </w:r>
      <w:r>
        <w:fldChar w:fldCharType="separate"/>
      </w:r>
      <w:r>
        <w:t>21</w:t>
      </w:r>
      <w:r>
        <w:fldChar w:fldCharType="end"/>
      </w:r>
      <w:r>
        <w:rPr>
          <w:color w:val="000000" w:themeColor="text1"/>
          <w14:textFill>
            <w14:solidFill>
              <w14:schemeClr w14:val="tx1"/>
            </w14:solidFill>
          </w14:textFill>
        </w:rPr>
        <w:fldChar w:fldCharType="end"/>
      </w:r>
    </w:p>
    <w:p>
      <w:pPr>
        <w:pStyle w:val="18"/>
        <w:tabs>
          <w:tab w:val="right" w:leader="dot" w:pos="9070"/>
        </w:tabs>
      </w:pPr>
      <w:r>
        <w:rPr>
          <w:color w:val="000000" w:themeColor="text1"/>
          <w14:textFill>
            <w14:solidFill>
              <w14:schemeClr w14:val="tx1"/>
            </w14:solidFill>
          </w14:textFill>
        </w:rPr>
        <w:fldChar w:fldCharType="begin"/>
      </w:r>
      <w:r>
        <w:instrText xml:space="preserve"> HYPERLINK \l _Toc11424 </w:instrText>
      </w:r>
      <w:r>
        <w:fldChar w:fldCharType="separate"/>
      </w:r>
      <w:r>
        <w:rPr>
          <w:rFonts w:hint="eastAsia" w:ascii="宋体" w:hAnsi="宋体" w:cs="宋体"/>
          <w:bCs/>
          <w:szCs w:val="32"/>
        </w:rPr>
        <w:t>附件</w:t>
      </w:r>
      <w:r>
        <w:rPr>
          <w:rFonts w:hint="eastAsia" w:ascii="宋体" w:hAnsi="宋体" w:cs="宋体"/>
          <w:kern w:val="0"/>
        </w:rPr>
        <w:t>二</w:t>
      </w:r>
      <w:r>
        <w:rPr>
          <w:rFonts w:hint="eastAsia" w:ascii="宋体" w:hAnsi="宋体" w:cs="宋体"/>
          <w:bCs/>
          <w:szCs w:val="32"/>
        </w:rPr>
        <w:t>：初次报价表</w:t>
      </w:r>
      <w:r>
        <w:tab/>
      </w:r>
      <w:r>
        <w:fldChar w:fldCharType="begin"/>
      </w:r>
      <w:r>
        <w:instrText xml:space="preserve"> PAGEREF _Toc11424 \h </w:instrText>
      </w:r>
      <w:r>
        <w:fldChar w:fldCharType="separate"/>
      </w:r>
      <w:r>
        <w:t>22</w:t>
      </w:r>
      <w:r>
        <w:fldChar w:fldCharType="end"/>
      </w:r>
      <w:r>
        <w:rPr>
          <w:color w:val="000000" w:themeColor="text1"/>
          <w14:textFill>
            <w14:solidFill>
              <w14:schemeClr w14:val="tx1"/>
            </w14:solidFill>
          </w14:textFill>
        </w:rPr>
        <w:fldChar w:fldCharType="end"/>
      </w:r>
    </w:p>
    <w:p>
      <w:pPr>
        <w:pStyle w:val="18"/>
        <w:tabs>
          <w:tab w:val="right" w:leader="dot" w:pos="9070"/>
        </w:tabs>
      </w:pPr>
      <w:r>
        <w:rPr>
          <w:color w:val="000000" w:themeColor="text1"/>
          <w14:textFill>
            <w14:solidFill>
              <w14:schemeClr w14:val="tx1"/>
            </w14:solidFill>
          </w14:textFill>
        </w:rPr>
        <w:fldChar w:fldCharType="begin"/>
      </w:r>
      <w:r>
        <w:instrText xml:space="preserve"> HYPERLINK \l _Toc14232 </w:instrText>
      </w:r>
      <w:r>
        <w:fldChar w:fldCharType="separate"/>
      </w:r>
      <w:r>
        <w:rPr>
          <w:rFonts w:hint="eastAsia" w:ascii="宋体" w:hAnsi="宋体" w:cs="宋体"/>
          <w:bCs/>
          <w:szCs w:val="32"/>
        </w:rPr>
        <w:t>附件三：法定代表人授权书</w:t>
      </w:r>
      <w:r>
        <w:tab/>
      </w:r>
      <w:r>
        <w:fldChar w:fldCharType="begin"/>
      </w:r>
      <w:r>
        <w:instrText xml:space="preserve"> PAGEREF _Toc14232 \h </w:instrText>
      </w:r>
      <w:r>
        <w:fldChar w:fldCharType="separate"/>
      </w:r>
      <w:r>
        <w:t>23</w:t>
      </w:r>
      <w:r>
        <w:fldChar w:fldCharType="end"/>
      </w:r>
      <w:r>
        <w:rPr>
          <w:color w:val="000000" w:themeColor="text1"/>
          <w14:textFill>
            <w14:solidFill>
              <w14:schemeClr w14:val="tx1"/>
            </w14:solidFill>
          </w14:textFill>
        </w:rPr>
        <w:fldChar w:fldCharType="end"/>
      </w:r>
    </w:p>
    <w:p>
      <w:pPr>
        <w:pStyle w:val="18"/>
        <w:tabs>
          <w:tab w:val="right" w:leader="dot" w:pos="9070"/>
        </w:tabs>
      </w:pPr>
      <w:r>
        <w:rPr>
          <w:color w:val="000000" w:themeColor="text1"/>
          <w14:textFill>
            <w14:solidFill>
              <w14:schemeClr w14:val="tx1"/>
            </w14:solidFill>
          </w14:textFill>
        </w:rPr>
        <w:fldChar w:fldCharType="begin"/>
      </w:r>
      <w:r>
        <w:instrText xml:space="preserve"> HYPERLINK \l _Toc4685 </w:instrText>
      </w:r>
      <w:r>
        <w:fldChar w:fldCharType="separate"/>
      </w:r>
      <w:r>
        <w:rPr>
          <w:rFonts w:hint="eastAsia" w:ascii="宋体" w:hAnsi="宋体" w:cs="宋体"/>
          <w:bCs/>
          <w:kern w:val="0"/>
          <w:szCs w:val="21"/>
        </w:rPr>
        <w:t>附件四：诚信承诺书</w:t>
      </w:r>
      <w:r>
        <w:tab/>
      </w:r>
      <w:r>
        <w:fldChar w:fldCharType="begin"/>
      </w:r>
      <w:r>
        <w:instrText xml:space="preserve"> PAGEREF _Toc4685 \h </w:instrText>
      </w:r>
      <w:r>
        <w:fldChar w:fldCharType="separate"/>
      </w:r>
      <w:r>
        <w:t>24</w:t>
      </w:r>
      <w:r>
        <w:fldChar w:fldCharType="end"/>
      </w:r>
      <w:r>
        <w:rPr>
          <w:color w:val="000000" w:themeColor="text1"/>
          <w14:textFill>
            <w14:solidFill>
              <w14:schemeClr w14:val="tx1"/>
            </w14:solidFill>
          </w14:textFill>
        </w:rPr>
        <w:fldChar w:fldCharType="end"/>
      </w:r>
    </w:p>
    <w:p>
      <w:pPr>
        <w:pStyle w:val="18"/>
        <w:tabs>
          <w:tab w:val="right" w:leader="dot" w:pos="9070"/>
        </w:tabs>
      </w:pPr>
      <w:r>
        <w:rPr>
          <w:color w:val="000000" w:themeColor="text1"/>
          <w14:textFill>
            <w14:solidFill>
              <w14:schemeClr w14:val="tx1"/>
            </w14:solidFill>
          </w14:textFill>
        </w:rPr>
        <w:fldChar w:fldCharType="begin"/>
      </w:r>
      <w:r>
        <w:instrText xml:space="preserve"> HYPERLINK \l _Toc28614 </w:instrText>
      </w:r>
      <w:r>
        <w:fldChar w:fldCharType="separate"/>
      </w:r>
      <w:r>
        <w:rPr>
          <w:rFonts w:hint="eastAsia" w:hAnsi="宋体"/>
        </w:rPr>
        <w:t>附件五 商务、技术响应表</w:t>
      </w:r>
      <w:r>
        <w:tab/>
      </w:r>
      <w:r>
        <w:fldChar w:fldCharType="begin"/>
      </w:r>
      <w:r>
        <w:instrText xml:space="preserve"> PAGEREF _Toc28614 \h </w:instrText>
      </w:r>
      <w:r>
        <w:fldChar w:fldCharType="separate"/>
      </w:r>
      <w:r>
        <w:t>25</w:t>
      </w:r>
      <w:r>
        <w:fldChar w:fldCharType="end"/>
      </w:r>
      <w:r>
        <w:rPr>
          <w:color w:val="000000" w:themeColor="text1"/>
          <w14:textFill>
            <w14:solidFill>
              <w14:schemeClr w14:val="tx1"/>
            </w14:solidFill>
          </w14:textFill>
        </w:rPr>
        <w:fldChar w:fldCharType="end"/>
      </w:r>
    </w:p>
    <w:p>
      <w:pPr>
        <w:pStyle w:val="18"/>
        <w:tabs>
          <w:tab w:val="right" w:leader="dot" w:pos="9070"/>
        </w:tabs>
      </w:pPr>
      <w:r>
        <w:rPr>
          <w:color w:val="000000" w:themeColor="text1"/>
          <w14:textFill>
            <w14:solidFill>
              <w14:schemeClr w14:val="tx1"/>
            </w14:solidFill>
          </w14:textFill>
        </w:rPr>
        <w:fldChar w:fldCharType="begin"/>
      </w:r>
      <w:r>
        <w:instrText xml:space="preserve"> HYPERLINK \l _Toc11586 </w:instrText>
      </w:r>
      <w:r>
        <w:fldChar w:fldCharType="separate"/>
      </w:r>
      <w:r>
        <w:rPr>
          <w:rFonts w:hint="eastAsia" w:hAnsi="宋体"/>
        </w:rPr>
        <w:t>附件</w:t>
      </w:r>
      <w:r>
        <w:rPr>
          <w:rFonts w:hint="eastAsia" w:hAnsi="宋体"/>
          <w:lang w:eastAsia="zh-CN"/>
        </w:rPr>
        <w:t>六</w:t>
      </w:r>
      <w:r>
        <w:rPr>
          <w:rFonts w:hint="eastAsia" w:hAnsi="宋体"/>
        </w:rPr>
        <w:t xml:space="preserve"> </w:t>
      </w:r>
      <w:r>
        <w:rPr>
          <w:rFonts w:hint="eastAsia" w:hAnsi="宋体"/>
          <w:lang w:eastAsia="zh-CN"/>
        </w:rPr>
        <w:t>供货及投标报价表</w:t>
      </w:r>
      <w:r>
        <w:tab/>
      </w:r>
      <w:r>
        <w:fldChar w:fldCharType="begin"/>
      </w:r>
      <w:r>
        <w:instrText xml:space="preserve"> PAGEREF _Toc11586 \h </w:instrText>
      </w:r>
      <w:r>
        <w:fldChar w:fldCharType="separate"/>
      </w:r>
      <w:r>
        <w:t>26</w:t>
      </w:r>
      <w:r>
        <w:fldChar w:fldCharType="end"/>
      </w:r>
      <w:r>
        <w:rPr>
          <w:color w:val="000000" w:themeColor="text1"/>
          <w14:textFill>
            <w14:solidFill>
              <w14:schemeClr w14:val="tx1"/>
            </w14:solidFill>
          </w14:textFill>
        </w:rPr>
        <w:fldChar w:fldCharType="end"/>
      </w:r>
    </w:p>
    <w:p>
      <w:pPr>
        <w:pStyle w:val="18"/>
        <w:tabs>
          <w:tab w:val="right" w:leader="dot" w:pos="9070"/>
        </w:tabs>
      </w:pPr>
      <w:r>
        <w:rPr>
          <w:color w:val="000000" w:themeColor="text1"/>
          <w14:textFill>
            <w14:solidFill>
              <w14:schemeClr w14:val="tx1"/>
            </w14:solidFill>
          </w14:textFill>
        </w:rPr>
        <w:fldChar w:fldCharType="begin"/>
      </w:r>
      <w:r>
        <w:instrText xml:space="preserve"> HYPERLINK \l _Toc22278 </w:instrText>
      </w:r>
      <w:r>
        <w:fldChar w:fldCharType="separate"/>
      </w:r>
      <w:r>
        <w:rPr>
          <w:rFonts w:hint="eastAsia" w:hAnsi="宋体"/>
        </w:rPr>
        <w:t>附件</w:t>
      </w:r>
      <w:r>
        <w:rPr>
          <w:rFonts w:hint="eastAsia" w:hAnsi="宋体"/>
          <w:lang w:eastAsia="zh-CN"/>
        </w:rPr>
        <w:t>七</w:t>
      </w:r>
      <w:r>
        <w:rPr>
          <w:rFonts w:hint="eastAsia" w:hAnsi="宋体"/>
        </w:rPr>
        <w:t xml:space="preserve"> </w:t>
      </w:r>
      <w:r>
        <w:rPr>
          <w:rFonts w:hint="eastAsia" w:hAnsi="宋体"/>
          <w:lang w:eastAsia="zh-CN"/>
        </w:rPr>
        <w:t>生产厂商授权书</w:t>
      </w:r>
      <w:r>
        <w:tab/>
      </w:r>
      <w:r>
        <w:fldChar w:fldCharType="begin"/>
      </w:r>
      <w:r>
        <w:instrText xml:space="preserve"> PAGEREF _Toc22278 \h </w:instrText>
      </w:r>
      <w:r>
        <w:fldChar w:fldCharType="separate"/>
      </w:r>
      <w:r>
        <w:t>26</w:t>
      </w:r>
      <w:r>
        <w:fldChar w:fldCharType="end"/>
      </w:r>
      <w:r>
        <w:rPr>
          <w:color w:val="000000" w:themeColor="text1"/>
          <w14:textFill>
            <w14:solidFill>
              <w14:schemeClr w14:val="tx1"/>
            </w14:solidFill>
          </w14:textFill>
        </w:rPr>
        <w:fldChar w:fldCharType="end"/>
      </w:r>
    </w:p>
    <w:p>
      <w:pPr>
        <w:pStyle w:val="18"/>
        <w:tabs>
          <w:tab w:val="right" w:leader="dot" w:pos="9070"/>
        </w:tabs>
      </w:pPr>
      <w:r>
        <w:rPr>
          <w:color w:val="000000" w:themeColor="text1"/>
          <w14:textFill>
            <w14:solidFill>
              <w14:schemeClr w14:val="tx1"/>
            </w14:solidFill>
          </w14:textFill>
        </w:rPr>
        <w:fldChar w:fldCharType="begin"/>
      </w:r>
      <w:r>
        <w:instrText xml:space="preserve"> HYPERLINK \l _Toc18243 </w:instrText>
      </w:r>
      <w:r>
        <w:fldChar w:fldCharType="separate"/>
      </w:r>
      <w:r>
        <w:rPr>
          <w:rFonts w:ascii="宋体" w:hAnsi="宋体" w:cs="宋体"/>
        </w:rPr>
        <w:t>附件</w:t>
      </w:r>
      <w:r>
        <w:rPr>
          <w:rFonts w:hint="eastAsia" w:ascii="宋体" w:hAnsi="宋体" w:cs="宋体"/>
          <w:lang w:eastAsia="zh-CN"/>
        </w:rPr>
        <w:t>八</w:t>
      </w:r>
      <w:r>
        <w:rPr>
          <w:rFonts w:ascii="宋体" w:hAnsi="宋体" w:cs="宋体"/>
        </w:rPr>
        <w:t>：同类项目业绩证明</w:t>
      </w:r>
      <w:r>
        <w:tab/>
      </w:r>
      <w:r>
        <w:fldChar w:fldCharType="begin"/>
      </w:r>
      <w:r>
        <w:instrText xml:space="preserve"> PAGEREF _Toc18243 \h </w:instrText>
      </w:r>
      <w:r>
        <w:fldChar w:fldCharType="separate"/>
      </w:r>
      <w:r>
        <w:t>27</w:t>
      </w:r>
      <w:r>
        <w:fldChar w:fldCharType="end"/>
      </w:r>
      <w:r>
        <w:rPr>
          <w:color w:val="000000" w:themeColor="text1"/>
          <w14:textFill>
            <w14:solidFill>
              <w14:schemeClr w14:val="tx1"/>
            </w14:solidFill>
          </w14:textFill>
        </w:rPr>
        <w:fldChar w:fldCharType="end"/>
      </w:r>
    </w:p>
    <w:p>
      <w:pPr>
        <w:pStyle w:val="18"/>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pStyle w:val="44"/>
        <w:snapToGrid w:val="0"/>
        <w:spacing w:line="240" w:lineRule="auto"/>
        <w:jc w:val="center"/>
        <w:rPr>
          <w:rFonts w:ascii="黑体" w:hAnsi="黑体" w:eastAsia="黑体"/>
          <w:color w:val="000000" w:themeColor="text1"/>
          <w14:textFill>
            <w14:solidFill>
              <w14:schemeClr w14:val="tx1"/>
            </w14:solidFill>
          </w14:textFill>
        </w:rPr>
      </w:pPr>
    </w:p>
    <w:p>
      <w:pPr>
        <w:rPr>
          <w:rStyle w:val="39"/>
          <w:color w:val="000000" w:themeColor="text1"/>
          <w14:textFill>
            <w14:solidFill>
              <w14:schemeClr w14:val="tx1"/>
            </w14:solidFill>
          </w14:textFill>
        </w:rPr>
      </w:pPr>
      <w:r>
        <w:rPr>
          <w:rStyle w:val="39"/>
          <w:color w:val="000000" w:themeColor="text1"/>
          <w14:textFill>
            <w14:solidFill>
              <w14:schemeClr w14:val="tx1"/>
            </w14:solidFill>
          </w14:textFill>
        </w:rPr>
        <w:br w:type="page"/>
      </w:r>
    </w:p>
    <w:p>
      <w:pPr>
        <w:pStyle w:val="44"/>
        <w:snapToGrid w:val="0"/>
        <w:spacing w:line="240" w:lineRule="auto"/>
        <w:jc w:val="center"/>
        <w:outlineLvl w:val="0"/>
        <w:rPr>
          <w:rStyle w:val="39"/>
          <w:color w:val="000000" w:themeColor="text1"/>
          <w14:textFill>
            <w14:solidFill>
              <w14:schemeClr w14:val="tx1"/>
            </w14:solidFill>
          </w14:textFill>
        </w:rPr>
      </w:pPr>
      <w:bookmarkStart w:id="0" w:name="_Toc29436"/>
      <w:r>
        <w:rPr>
          <w:rStyle w:val="39"/>
          <w:color w:val="000000" w:themeColor="text1"/>
          <w14:textFill>
            <w14:solidFill>
              <w14:schemeClr w14:val="tx1"/>
            </w14:solidFill>
          </w14:textFill>
        </w:rPr>
        <w:t xml:space="preserve">第一章  </w:t>
      </w:r>
      <w:r>
        <w:rPr>
          <w:rStyle w:val="39"/>
          <w:rFonts w:hint="eastAsia"/>
          <w:color w:val="000000" w:themeColor="text1"/>
          <w14:textFill>
            <w14:solidFill>
              <w14:schemeClr w14:val="tx1"/>
            </w14:solidFill>
          </w14:textFill>
        </w:rPr>
        <w:t>竞争性谈判</w:t>
      </w:r>
      <w:r>
        <w:rPr>
          <w:rStyle w:val="39"/>
          <w:color w:val="000000" w:themeColor="text1"/>
          <w14:textFill>
            <w14:solidFill>
              <w14:schemeClr w14:val="tx1"/>
            </w14:solidFill>
          </w14:textFill>
        </w:rPr>
        <w:t>公告</w:t>
      </w:r>
      <w:bookmarkEnd w:id="0"/>
    </w:p>
    <w:p>
      <w:pPr>
        <w:spacing w:line="400" w:lineRule="exact"/>
        <w:rPr>
          <w:b/>
          <w:color w:val="000000" w:themeColor="text1"/>
          <w:sz w:val="24"/>
          <w:u w:val="single"/>
          <w14:textFill>
            <w14:solidFill>
              <w14:schemeClr w14:val="tx1"/>
            </w14:solidFill>
          </w14:textFill>
        </w:rPr>
      </w:pPr>
      <w:r>
        <w:rPr>
          <w:rFonts w:ascii="黑体" w:hAnsi="黑体" w:eastAsia="黑体" w:cs="黑体"/>
          <w:color w:val="000000" w:themeColor="text1"/>
          <w:sz w:val="30"/>
          <w:szCs w:val="30"/>
          <w14:textFill>
            <w14:solidFill>
              <w14:schemeClr w14:val="tx1"/>
            </w14:solidFill>
          </w14:textFill>
        </w:rPr>
        <w:t xml:space="preserve">   </w:t>
      </w:r>
      <w:r>
        <w:rPr>
          <w:color w:val="000000" w:themeColor="text1"/>
          <w:sz w:val="24"/>
          <w14:textFill>
            <w14:solidFill>
              <w14:schemeClr w14:val="tx1"/>
            </w14:solidFill>
          </w14:textFill>
        </w:rPr>
        <w:t> 根据《中华人民共和国政府采购法》、《浙江广厦建设职业技术大学招投标管理办法》等有关规定，现就</w:t>
      </w:r>
      <w:r>
        <w:rPr>
          <w:rFonts w:hint="eastAsia"/>
          <w:color w:val="000000" w:themeColor="text1"/>
          <w:sz w:val="24"/>
          <w14:textFill>
            <w14:solidFill>
              <w14:schemeClr w14:val="tx1"/>
            </w14:solidFill>
          </w14:textFill>
        </w:rPr>
        <w:t>浙江广厦建设职业技术大学</w:t>
      </w:r>
      <w:r>
        <w:rPr>
          <w:rFonts w:hint="eastAsia"/>
          <w:color w:val="000000" w:themeColor="text1"/>
          <w:sz w:val="24"/>
          <w:lang w:eastAsia="zh-CN"/>
          <w14:textFill>
            <w14:solidFill>
              <w14:schemeClr w14:val="tx1"/>
            </w14:solidFill>
          </w14:textFill>
        </w:rPr>
        <w:t>无线耳机采购项目</w:t>
      </w:r>
      <w:r>
        <w:rPr>
          <w:color w:val="000000" w:themeColor="text1"/>
          <w:sz w:val="24"/>
          <w14:textFill>
            <w14:solidFill>
              <w14:schemeClr w14:val="tx1"/>
            </w14:solidFill>
          </w14:textFill>
        </w:rPr>
        <w:t>进行</w:t>
      </w:r>
      <w:r>
        <w:rPr>
          <w:rFonts w:hint="eastAsia" w:ascii="宋体" w:hAnsi="宋体" w:cs="宋体"/>
          <w:sz w:val="24"/>
        </w:rPr>
        <w:t>采购事项公告如下。</w:t>
      </w:r>
    </w:p>
    <w:p>
      <w:pPr>
        <w:snapToGrid w:val="0"/>
        <w:spacing w:line="400" w:lineRule="exact"/>
        <w:ind w:firstLine="480"/>
        <w:rPr>
          <w:rFonts w:hint="eastAsia" w:ascii="宋体" w:hAnsi="宋体" w:eastAsia="宋体" w:cs="宋体"/>
          <w:color w:val="000000" w:themeColor="text1"/>
          <w:kern w:val="0"/>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一、</w:t>
      </w:r>
      <w:r>
        <w:rPr>
          <w:rFonts w:ascii="宋体" w:hAnsi="宋体" w:cs="Arial"/>
          <w:b/>
          <w:bCs/>
          <w:color w:val="000000" w:themeColor="text1"/>
          <w:sz w:val="24"/>
          <w14:textFill>
            <w14:solidFill>
              <w14:schemeClr w14:val="tx1"/>
            </w14:solidFill>
          </w14:textFill>
        </w:rPr>
        <w:t>项目编号：</w:t>
      </w:r>
      <w:r>
        <w:rPr>
          <w:rFonts w:hint="eastAsia" w:ascii="宋体" w:hAnsi="宋体" w:cs="宋体"/>
          <w:color w:val="000000" w:themeColor="text1"/>
          <w:kern w:val="0"/>
          <w:sz w:val="24"/>
          <w:lang w:eastAsia="zh-CN"/>
          <w14:textFill>
            <w14:solidFill>
              <w14:schemeClr w14:val="tx1"/>
            </w14:solidFill>
          </w14:textFill>
        </w:rPr>
        <w:t>ZJGS2021-C018</w:t>
      </w:r>
    </w:p>
    <w:p>
      <w:pPr>
        <w:snapToGrid w:val="0"/>
        <w:spacing w:line="400" w:lineRule="exact"/>
        <w:ind w:firstLine="480"/>
        <w:rPr>
          <w:rFonts w:ascii="宋体" w:hAnsi="宋体" w:cs="Arial"/>
          <w:color w:val="000000" w:themeColor="text1"/>
          <w:sz w:val="24"/>
          <w:szCs w:val="20"/>
          <w14:textFill>
            <w14:solidFill>
              <w14:schemeClr w14:val="tx1"/>
            </w14:solidFill>
          </w14:textFill>
        </w:rPr>
      </w:pPr>
      <w:r>
        <w:rPr>
          <w:rFonts w:ascii="宋体" w:hAnsi="宋体" w:cs="Arial"/>
          <w:color w:val="000000" w:themeColor="text1"/>
          <w:sz w:val="24"/>
          <w14:textFill>
            <w14:solidFill>
              <w14:schemeClr w14:val="tx1"/>
            </w14:solidFill>
          </w14:textFill>
        </w:rPr>
        <w:t>二、</w:t>
      </w:r>
      <w:r>
        <w:rPr>
          <w:rFonts w:ascii="宋体" w:hAnsi="宋体" w:cs="Arial"/>
          <w:b/>
          <w:color w:val="000000" w:themeColor="text1"/>
          <w:sz w:val="24"/>
          <w14:textFill>
            <w14:solidFill>
              <w14:schemeClr w14:val="tx1"/>
            </w14:solidFill>
          </w14:textFill>
        </w:rPr>
        <w:t>采购组织类型：</w:t>
      </w:r>
      <w:r>
        <w:rPr>
          <w:rFonts w:ascii="宋体" w:hAnsi="宋体" w:cs="Arial"/>
          <w:color w:val="000000" w:themeColor="text1"/>
          <w:sz w:val="24"/>
          <w14:textFill>
            <w14:solidFill>
              <w14:schemeClr w14:val="tx1"/>
            </w14:solidFill>
          </w14:textFill>
        </w:rPr>
        <w:t>自行采购</w:t>
      </w:r>
    </w:p>
    <w:p>
      <w:pPr>
        <w:snapToGrid w:val="0"/>
        <w:spacing w:line="400" w:lineRule="exact"/>
        <w:ind w:firstLine="482"/>
        <w:rPr>
          <w:rFonts w:ascii="宋体" w:hAnsi="宋体" w:cs="Arial"/>
          <w:color w:val="000000" w:themeColor="text1"/>
          <w:sz w:val="24"/>
          <w:szCs w:val="20"/>
          <w14:textFill>
            <w14:solidFill>
              <w14:schemeClr w14:val="tx1"/>
            </w14:solidFill>
          </w14:textFill>
        </w:rPr>
      </w:pPr>
      <w:r>
        <w:rPr>
          <w:rFonts w:ascii="宋体" w:hAnsi="宋体" w:cs="Arial"/>
          <w:b/>
          <w:color w:val="000000" w:themeColor="text1"/>
          <w:sz w:val="24"/>
          <w14:textFill>
            <w14:solidFill>
              <w14:schemeClr w14:val="tx1"/>
            </w14:solidFill>
          </w14:textFill>
        </w:rPr>
        <w:t>三、采购方式：</w:t>
      </w:r>
      <w:r>
        <w:rPr>
          <w:rFonts w:hint="eastAsia" w:ascii="宋体" w:hAnsi="宋体" w:cs="宋体"/>
          <w:sz w:val="24"/>
        </w:rPr>
        <w:t>竞争性谈判</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四、采购内容及数量：</w:t>
      </w:r>
    </w:p>
    <w:tbl>
      <w:tblPr>
        <w:tblStyle w:val="21"/>
        <w:tblW w:w="8796" w:type="dxa"/>
        <w:tblInd w:w="40" w:type="dxa"/>
        <w:tblLayout w:type="fixed"/>
        <w:tblCellMar>
          <w:top w:w="0" w:type="dxa"/>
          <w:left w:w="108" w:type="dxa"/>
          <w:bottom w:w="0" w:type="dxa"/>
          <w:right w:w="108" w:type="dxa"/>
        </w:tblCellMar>
      </w:tblPr>
      <w:tblGrid>
        <w:gridCol w:w="4791"/>
        <w:gridCol w:w="1935"/>
        <w:gridCol w:w="2070"/>
      </w:tblGrid>
      <w:tr>
        <w:tblPrEx>
          <w:tblCellMar>
            <w:top w:w="0" w:type="dxa"/>
            <w:left w:w="108" w:type="dxa"/>
            <w:bottom w:w="0" w:type="dxa"/>
            <w:right w:w="108" w:type="dxa"/>
          </w:tblCellMar>
        </w:tblPrEx>
        <w:trPr>
          <w:trHeight w:val="426"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1935"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暂定数量</w:t>
            </w:r>
          </w:p>
        </w:tc>
        <w:tc>
          <w:tcPr>
            <w:tcW w:w="2070"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b/>
                <w:color w:val="000000"/>
                <w:sz w:val="24"/>
                <w:lang w:val="zh-CN"/>
              </w:rPr>
            </w:pPr>
            <w:r>
              <w:rPr>
                <w:rFonts w:hint="eastAsia" w:ascii="宋体" w:hAnsi="宋体"/>
                <w:b/>
                <w:color w:val="000000"/>
                <w:sz w:val="24"/>
                <w:lang w:val="zh-CN"/>
              </w:rPr>
              <w:t>最高限价</w:t>
            </w:r>
          </w:p>
        </w:tc>
      </w:tr>
      <w:tr>
        <w:tblPrEx>
          <w:tblCellMar>
            <w:top w:w="0" w:type="dxa"/>
            <w:left w:w="108" w:type="dxa"/>
            <w:bottom w:w="0" w:type="dxa"/>
            <w:right w:w="108" w:type="dxa"/>
          </w:tblCellMar>
        </w:tblPrEx>
        <w:trPr>
          <w:trHeight w:val="782"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pStyle w:val="47"/>
              <w:spacing w:line="400" w:lineRule="exact"/>
              <w:ind w:firstLine="0" w:firstLineChars="0"/>
              <w:jc w:val="center"/>
              <w:rPr>
                <w:rFonts w:hint="eastAsia" w:ascii="宋体" w:hAnsi="宋体" w:eastAsia="宋体"/>
                <w:color w:val="000000" w:themeColor="text1"/>
                <w:kern w:val="0"/>
                <w:sz w:val="24"/>
                <w:lang w:val="zh-CN" w:eastAsia="zh-CN"/>
                <w14:textFill>
                  <w14:solidFill>
                    <w14:schemeClr w14:val="tx1"/>
                  </w14:solidFill>
                </w14:textFill>
              </w:rPr>
            </w:pPr>
            <w:r>
              <w:rPr>
                <w:rFonts w:hint="eastAsia" w:ascii="宋体" w:hAnsi="宋体" w:cs="Arial"/>
                <w:bCs/>
                <w:color w:val="000000" w:themeColor="text1"/>
                <w:sz w:val="24"/>
                <w:szCs w:val="20"/>
                <w:lang w:eastAsia="zh-CN"/>
                <w14:textFill>
                  <w14:solidFill>
                    <w14:schemeClr w14:val="tx1"/>
                  </w14:solidFill>
                </w14:textFill>
              </w:rPr>
              <w:t>无线耳机采购项目</w:t>
            </w:r>
          </w:p>
        </w:tc>
        <w:tc>
          <w:tcPr>
            <w:tcW w:w="19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4500</w:t>
            </w:r>
          </w:p>
        </w:tc>
        <w:tc>
          <w:tcPr>
            <w:tcW w:w="20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25元/只</w:t>
            </w:r>
          </w:p>
        </w:tc>
      </w:tr>
    </w:tbl>
    <w:p>
      <w:pPr>
        <w:tabs>
          <w:tab w:val="left" w:pos="0"/>
        </w:tabs>
        <w:snapToGrid w:val="0"/>
        <w:spacing w:line="400" w:lineRule="exact"/>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五、</w:t>
      </w:r>
      <w:r>
        <w:rPr>
          <w:rFonts w:ascii="宋体" w:hAnsi="宋体" w:cs="Arial"/>
          <w:b/>
          <w:color w:val="000000" w:themeColor="text1"/>
          <w:sz w:val="24"/>
          <w14:textFill>
            <w14:solidFill>
              <w14:schemeClr w14:val="tx1"/>
            </w14:solidFill>
          </w14:textFill>
        </w:rPr>
        <w:t>合格投标人的资格要求</w:t>
      </w:r>
    </w:p>
    <w:p>
      <w:pPr>
        <w:snapToGrid w:val="0"/>
        <w:spacing w:line="400" w:lineRule="exact"/>
        <w:ind w:firstLine="480"/>
        <w:rPr>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符合《中华人民共和国政府采购法》第二十二条规定的投标人资格条件和本公告设定的特定条件。</w:t>
      </w:r>
    </w:p>
    <w:p>
      <w:pPr>
        <w:snapToGrid w:val="0"/>
        <w:spacing w:line="400" w:lineRule="exact"/>
        <w:ind w:firstLine="240"/>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投标人的特定条件：</w:t>
      </w:r>
    </w:p>
    <w:p>
      <w:pPr>
        <w:shd w:val="clear" w:color="auto" w:fill="FFFFFF"/>
        <w:snapToGrid w:val="0"/>
        <w:spacing w:line="400" w:lineRule="exact"/>
        <w:ind w:left="479"/>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A、投标人需具有独立法人资格，具有工商注册经营许可。</w:t>
      </w:r>
    </w:p>
    <w:p>
      <w:pPr>
        <w:shd w:val="clear" w:color="auto" w:fill="FFFFFF"/>
        <w:snapToGrid w:val="0"/>
        <w:spacing w:line="400" w:lineRule="exact"/>
        <w:ind w:firstLine="48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B、</w:t>
      </w:r>
      <w:r>
        <w:rPr>
          <w:rFonts w:ascii="宋体" w:hAnsi="宋体" w:cs="宋体"/>
          <w:b/>
          <w:bCs/>
          <w:color w:val="000000" w:themeColor="text1"/>
          <w:sz w:val="24"/>
          <w14:textFill>
            <w14:solidFill>
              <w14:schemeClr w14:val="tx1"/>
            </w14:solidFill>
          </w14:textFill>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40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D</w:t>
      </w:r>
      <w:r>
        <w:rPr>
          <w:rFonts w:ascii="宋体" w:hAnsi="宋体" w:cs="宋体"/>
          <w:color w:val="000000" w:themeColor="text1"/>
          <w:kern w:val="0"/>
          <w:sz w:val="24"/>
          <w14:textFill>
            <w14:solidFill>
              <w14:schemeClr w14:val="tx1"/>
            </w14:solidFill>
          </w14:textFill>
        </w:rPr>
        <w:t>、本项目不接受联合体投标。</w:t>
      </w:r>
    </w:p>
    <w:p>
      <w:pPr>
        <w:snapToGrid w:val="0"/>
        <w:spacing w:line="400" w:lineRule="exact"/>
        <w:ind w:firstLine="482"/>
        <w:rPr>
          <w:rFonts w:ascii="宋体" w:hAnsi="宋体" w:cs="Arial"/>
          <w:b/>
          <w:color w:val="auto"/>
          <w:sz w:val="24"/>
        </w:rPr>
      </w:pPr>
      <w:r>
        <w:rPr>
          <w:rFonts w:ascii="宋体" w:hAnsi="宋体" w:cs="Arial"/>
          <w:b/>
          <w:color w:val="000000" w:themeColor="text1"/>
          <w:sz w:val="24"/>
          <w14:textFill>
            <w14:solidFill>
              <w14:schemeClr w14:val="tx1"/>
            </w14:solidFill>
          </w14:textFill>
        </w:rPr>
        <w:t>六、招标文件的</w:t>
      </w:r>
      <w:r>
        <w:rPr>
          <w:rFonts w:ascii="宋体" w:hAnsi="宋体" w:cs="Arial"/>
          <w:b/>
          <w:color w:val="auto"/>
          <w:sz w:val="24"/>
        </w:rPr>
        <w:t>获取及报名方式</w:t>
      </w:r>
    </w:p>
    <w:p>
      <w:pPr>
        <w:snapToGrid w:val="0"/>
        <w:spacing w:line="400" w:lineRule="exact"/>
        <w:ind w:firstLine="420"/>
        <w:rPr>
          <w:rFonts w:ascii="宋体" w:hAnsi="宋体" w:cs="Arial"/>
          <w:color w:val="auto"/>
          <w:sz w:val="24"/>
        </w:rPr>
      </w:pPr>
      <w:r>
        <w:rPr>
          <w:rFonts w:hint="eastAsia" w:ascii="宋体" w:hAnsi="宋体" w:cs="Arial"/>
          <w:color w:val="auto"/>
          <w:sz w:val="24"/>
        </w:rPr>
        <w:t>本项目谈判</w:t>
      </w:r>
      <w:r>
        <w:rPr>
          <w:rFonts w:hint="eastAsia" w:ascii="宋体" w:hAnsi="宋体" w:cs="Arial"/>
          <w:color w:val="auto"/>
          <w:sz w:val="24"/>
          <w:lang w:eastAsia="zh-CN"/>
        </w:rPr>
        <w:t>响应</w:t>
      </w:r>
      <w:r>
        <w:rPr>
          <w:rFonts w:hint="eastAsia" w:ascii="宋体" w:hAnsi="宋体" w:cs="Arial"/>
          <w:color w:val="auto"/>
          <w:sz w:val="24"/>
        </w:rPr>
        <w:t>截止时间：</w:t>
      </w:r>
      <w:r>
        <w:rPr>
          <w:rFonts w:hint="eastAsia" w:ascii="宋体" w:hAnsi="宋体" w:cs="Arial"/>
          <w:color w:val="auto"/>
          <w:sz w:val="24"/>
          <w:lang w:eastAsia="zh-CN"/>
        </w:rPr>
        <w:t>2021年11月2</w:t>
      </w:r>
      <w:r>
        <w:rPr>
          <w:rFonts w:hint="eastAsia" w:ascii="宋体" w:hAnsi="宋体" w:cs="Arial"/>
          <w:color w:val="auto"/>
          <w:sz w:val="24"/>
          <w:lang w:val="en-US" w:eastAsia="zh-CN"/>
        </w:rPr>
        <w:t>5</w:t>
      </w:r>
      <w:r>
        <w:rPr>
          <w:rFonts w:hint="eastAsia" w:ascii="宋体" w:hAnsi="宋体" w:cs="Arial"/>
          <w:color w:val="auto"/>
          <w:sz w:val="24"/>
          <w:lang w:eastAsia="zh-CN"/>
        </w:rPr>
        <w:t>日1</w:t>
      </w:r>
      <w:r>
        <w:rPr>
          <w:rFonts w:hint="eastAsia" w:ascii="宋体" w:hAnsi="宋体" w:cs="Arial"/>
          <w:color w:val="auto"/>
          <w:sz w:val="24"/>
          <w:lang w:val="en-US" w:eastAsia="zh-CN"/>
        </w:rPr>
        <w:t>6</w:t>
      </w:r>
      <w:r>
        <w:rPr>
          <w:rFonts w:hint="eastAsia" w:ascii="宋体" w:hAnsi="宋体" w:cs="Arial"/>
          <w:color w:val="auto"/>
          <w:sz w:val="24"/>
          <w:lang w:eastAsia="zh-CN"/>
        </w:rPr>
        <w:t>时00分</w:t>
      </w:r>
      <w:r>
        <w:rPr>
          <w:rFonts w:hint="eastAsia" w:ascii="宋体" w:hAnsi="宋体" w:cs="Arial"/>
          <w:color w:val="auto"/>
          <w:sz w:val="24"/>
        </w:rPr>
        <w:t>前</w:t>
      </w:r>
    </w:p>
    <w:p>
      <w:pPr>
        <w:snapToGrid w:val="0"/>
        <w:spacing w:line="400" w:lineRule="exact"/>
        <w:ind w:firstLine="420"/>
        <w:rPr>
          <w:rFonts w:ascii="宋体" w:hAnsi="宋体" w:cs="Arial"/>
          <w:color w:val="auto"/>
          <w:sz w:val="24"/>
        </w:rPr>
      </w:pPr>
      <w:r>
        <w:rPr>
          <w:rFonts w:hint="eastAsia" w:ascii="宋体" w:hAnsi="宋体" w:cs="Arial"/>
          <w:color w:val="auto"/>
          <w:sz w:val="24"/>
        </w:rPr>
        <w:t>报名可通</w:t>
      </w:r>
      <w:r>
        <w:rPr>
          <w:rFonts w:ascii="宋体" w:hAnsi="宋体" w:cs="Arial"/>
          <w:color w:val="auto"/>
          <w:sz w:val="24"/>
        </w:rPr>
        <w:t>过邮箱方式</w:t>
      </w:r>
      <w:r>
        <w:rPr>
          <w:rFonts w:hint="eastAsia" w:ascii="宋体" w:hAnsi="宋体" w:cs="Arial"/>
          <w:color w:val="auto"/>
          <w:sz w:val="24"/>
        </w:rPr>
        <w:t>或</w:t>
      </w:r>
      <w:r>
        <w:rPr>
          <w:rFonts w:ascii="宋体" w:hAnsi="宋体" w:cs="Arial"/>
          <w:color w:val="auto"/>
          <w:sz w:val="24"/>
        </w:rPr>
        <w:t>送达</w:t>
      </w:r>
      <w:r>
        <w:rPr>
          <w:rFonts w:hint="eastAsia" w:ascii="宋体" w:hAnsi="宋体" w:cs="Arial"/>
          <w:color w:val="auto"/>
          <w:sz w:val="24"/>
        </w:rPr>
        <w:t>至浙江广厦建设职业技术大学213办公室</w:t>
      </w:r>
      <w:r>
        <w:rPr>
          <w:rFonts w:ascii="宋体" w:hAnsi="宋体" w:cs="Arial"/>
          <w:color w:val="auto"/>
          <w:sz w:val="24"/>
        </w:rPr>
        <w:t>（</w:t>
      </w:r>
      <w:r>
        <w:rPr>
          <w:rFonts w:hint="eastAsia" w:ascii="宋体" w:hAnsi="宋体" w:cs="Arial"/>
          <w:color w:val="auto"/>
          <w:sz w:val="24"/>
        </w:rPr>
        <w:t>电话</w:t>
      </w:r>
      <w:r>
        <w:rPr>
          <w:rFonts w:ascii="宋体" w:hAnsi="宋体" w:cs="Arial"/>
          <w:color w:val="auto"/>
          <w:sz w:val="24"/>
        </w:rPr>
        <w:t>：0579-866</w:t>
      </w:r>
      <w:r>
        <w:rPr>
          <w:rFonts w:hint="eastAsia" w:ascii="宋体" w:hAnsi="宋体" w:cs="Arial"/>
          <w:color w:val="auto"/>
          <w:sz w:val="24"/>
        </w:rPr>
        <w:t>64725</w:t>
      </w:r>
      <w:r>
        <w:rPr>
          <w:rFonts w:ascii="宋体" w:hAnsi="宋体" w:cs="Arial"/>
          <w:color w:val="auto"/>
          <w:sz w:val="24"/>
        </w:rPr>
        <w:t>，邮箱：</w:t>
      </w:r>
      <w:r>
        <w:rPr>
          <w:rFonts w:hint="eastAsia" w:ascii="宋体" w:hAnsi="宋体" w:cs="Arial"/>
          <w:color w:val="auto"/>
          <w:sz w:val="24"/>
        </w:rPr>
        <w:t>953715462</w:t>
      </w:r>
      <w:r>
        <w:rPr>
          <w:rFonts w:ascii="宋体" w:hAnsi="宋体" w:cs="Arial"/>
          <w:color w:val="auto"/>
          <w:sz w:val="24"/>
        </w:rPr>
        <w:t>@qq.com）</w:t>
      </w:r>
    </w:p>
    <w:p>
      <w:pPr>
        <w:spacing w:line="400" w:lineRule="exact"/>
        <w:ind w:firstLine="482"/>
        <w:rPr>
          <w:rFonts w:ascii="宋体" w:hAnsi="宋体" w:cs="Arial"/>
          <w:b/>
          <w:bCs/>
          <w:color w:val="auto"/>
          <w:sz w:val="24"/>
        </w:rPr>
      </w:pPr>
      <w:r>
        <w:rPr>
          <w:rFonts w:ascii="宋体" w:hAnsi="宋体" w:cs="Arial"/>
          <w:b/>
          <w:bCs/>
          <w:color w:val="auto"/>
          <w:sz w:val="24"/>
        </w:rPr>
        <w:t>七、投标截止时间和地点：</w:t>
      </w:r>
    </w:p>
    <w:p>
      <w:pPr>
        <w:snapToGrid w:val="0"/>
        <w:spacing w:line="400" w:lineRule="exact"/>
        <w:ind w:firstLine="420"/>
        <w:rPr>
          <w:rFonts w:ascii="宋体" w:hAnsi="宋体" w:cs="Arial"/>
          <w:color w:val="auto"/>
          <w:sz w:val="24"/>
        </w:rPr>
      </w:pPr>
      <w:r>
        <w:rPr>
          <w:rFonts w:ascii="宋体" w:hAnsi="宋体" w:cs="Arial"/>
          <w:color w:val="auto"/>
          <w:sz w:val="24"/>
        </w:rPr>
        <w:t>投标截止时间为：</w:t>
      </w:r>
      <w:r>
        <w:rPr>
          <w:rFonts w:hint="eastAsia" w:ascii="宋体" w:hAnsi="宋体" w:cs="Arial"/>
          <w:color w:val="auto"/>
          <w:sz w:val="24"/>
          <w:lang w:eastAsia="zh-CN"/>
        </w:rPr>
        <w:t>2021年11月26日15时00分</w:t>
      </w:r>
      <w:r>
        <w:rPr>
          <w:rFonts w:ascii="宋体" w:hAnsi="宋体" w:cs="Arial"/>
          <w:color w:val="auto"/>
          <w:sz w:val="24"/>
        </w:rPr>
        <w:t xml:space="preserve">前； </w:t>
      </w:r>
    </w:p>
    <w:p>
      <w:pPr>
        <w:snapToGrid w:val="0"/>
        <w:spacing w:line="400" w:lineRule="exact"/>
        <w:ind w:firstLine="420"/>
        <w:rPr>
          <w:rFonts w:ascii="宋体" w:hAnsi="宋体" w:cs="Arial"/>
          <w:color w:val="auto"/>
          <w:sz w:val="24"/>
        </w:rPr>
      </w:pPr>
      <w:r>
        <w:rPr>
          <w:rFonts w:ascii="宋体" w:hAnsi="宋体" w:cs="Arial"/>
          <w:color w:val="auto"/>
          <w:sz w:val="24"/>
        </w:rPr>
        <w:t>开标</w:t>
      </w:r>
      <w:r>
        <w:rPr>
          <w:rFonts w:hint="eastAsia" w:ascii="宋体" w:hAnsi="宋体" w:cs="Arial"/>
          <w:color w:val="auto"/>
          <w:sz w:val="24"/>
        </w:rPr>
        <w:t>地址</w:t>
      </w:r>
      <w:r>
        <w:rPr>
          <w:rFonts w:ascii="宋体" w:hAnsi="宋体" w:cs="Arial"/>
          <w:color w:val="auto"/>
          <w:sz w:val="24"/>
        </w:rPr>
        <w:t>，浙江广厦建设职业技术大学综合楼603开标室。</w:t>
      </w:r>
    </w:p>
    <w:p>
      <w:pPr>
        <w:snapToGrid w:val="0"/>
        <w:spacing w:line="400" w:lineRule="exact"/>
        <w:ind w:firstLine="540"/>
        <w:rPr>
          <w:rFonts w:ascii="宋体" w:hAnsi="宋体" w:cs="Arial"/>
          <w:b/>
          <w:bCs/>
          <w:color w:val="auto"/>
          <w:sz w:val="24"/>
        </w:rPr>
      </w:pPr>
      <w:r>
        <w:rPr>
          <w:rFonts w:ascii="宋体" w:hAnsi="宋体" w:cs="宋体"/>
          <w:color w:val="auto"/>
          <w:sz w:val="24"/>
        </w:rPr>
        <w:t>▲</w:t>
      </w:r>
      <w:r>
        <w:rPr>
          <w:rFonts w:ascii="宋体" w:hAnsi="宋体" w:cs="Arial"/>
          <w:b/>
          <w:bCs/>
          <w:color w:val="auto"/>
          <w:sz w:val="24"/>
        </w:rPr>
        <w:t>八、开标时间及地点：</w:t>
      </w:r>
    </w:p>
    <w:p>
      <w:pPr>
        <w:snapToGrid w:val="0"/>
        <w:spacing w:line="400" w:lineRule="exact"/>
        <w:ind w:firstLine="420"/>
        <w:rPr>
          <w:rFonts w:ascii="宋体" w:hAnsi="宋体" w:cs="Arial"/>
          <w:color w:val="auto"/>
          <w:sz w:val="24"/>
        </w:rPr>
      </w:pPr>
      <w:r>
        <w:rPr>
          <w:rFonts w:ascii="宋体" w:hAnsi="宋体" w:cs="Arial"/>
          <w:color w:val="auto"/>
          <w:sz w:val="24"/>
        </w:rPr>
        <w:t>开标时间为：</w:t>
      </w:r>
      <w:r>
        <w:rPr>
          <w:rFonts w:hint="eastAsia" w:ascii="宋体" w:hAnsi="宋体" w:cs="Arial"/>
          <w:color w:val="auto"/>
          <w:sz w:val="24"/>
          <w:lang w:eastAsia="zh-CN"/>
        </w:rPr>
        <w:t>2021年11月26日15时00分</w:t>
      </w:r>
      <w:r>
        <w:rPr>
          <w:rFonts w:ascii="宋体" w:hAnsi="宋体" w:cs="Arial"/>
          <w:color w:val="auto"/>
          <w:sz w:val="24"/>
        </w:rPr>
        <w:t xml:space="preserve">； </w:t>
      </w:r>
    </w:p>
    <w:p>
      <w:pPr>
        <w:snapToGrid w:val="0"/>
        <w:spacing w:line="420" w:lineRule="exact"/>
        <w:ind w:firstLine="420"/>
        <w:rPr>
          <w:rStyle w:val="23"/>
          <w:rFonts w:ascii="仿宋_GB2312" w:hAnsi="宋体" w:eastAsia="仿宋_GB2312" w:cs="仿宋_GB2312"/>
          <w:color w:val="222222"/>
        </w:rPr>
      </w:pPr>
      <w:r>
        <w:rPr>
          <w:rFonts w:hint="eastAsia" w:ascii="宋体" w:hAnsi="宋体" w:cs="Arial"/>
          <w:color w:val="auto"/>
          <w:sz w:val="24"/>
        </w:rPr>
        <w:t>本项目采用不见面开标的形式开标，投标人自行下载钉钉，在开标截</w:t>
      </w:r>
      <w:r>
        <w:rPr>
          <w:rFonts w:hint="eastAsia" w:ascii="宋体" w:hAnsi="宋体" w:cs="Arial"/>
          <w:sz w:val="24"/>
        </w:rPr>
        <w:t>止时间前1小时内，加群并开启钉钉视频直播，对开标现场情况进行全程直播。</w:t>
      </w:r>
    </w:p>
    <w:p>
      <w:pPr>
        <w:spacing w:line="400" w:lineRule="exact"/>
        <w:ind w:firstLine="241" w:firstLineChars="100"/>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九、</w:t>
      </w:r>
      <w:r>
        <w:rPr>
          <w:rFonts w:ascii="宋体" w:hAnsi="宋体" w:cs="Arial"/>
          <w:b/>
          <w:bCs/>
          <w:color w:val="000000" w:themeColor="text1"/>
          <w:sz w:val="24"/>
          <w14:textFill>
            <w14:solidFill>
              <w14:schemeClr w14:val="tx1"/>
            </w14:solidFill>
          </w14:textFill>
        </w:rPr>
        <w:t>其他事项：</w:t>
      </w:r>
    </w:p>
    <w:p>
      <w:pPr>
        <w:snapToGrid w:val="0"/>
        <w:spacing w:line="400" w:lineRule="exact"/>
        <w:ind w:firstLine="420"/>
        <w:rPr>
          <w:rFonts w:ascii="宋体" w:hAnsi="宋体" w:cs="宋体"/>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400" w:lineRule="exact"/>
        <w:ind w:firstLine="54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十、业务咨询：</w:t>
      </w:r>
    </w:p>
    <w:p>
      <w:pPr>
        <w:snapToGrid w:val="0"/>
        <w:spacing w:line="400" w:lineRule="exact"/>
        <w:ind w:firstLine="420"/>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浙江广厦建设职业技术大学          联系人：</w:t>
      </w:r>
      <w:r>
        <w:rPr>
          <w:rFonts w:hint="eastAsia" w:ascii="宋体" w:hAnsi="宋体" w:cs="Arial"/>
          <w:color w:val="000000" w:themeColor="text1"/>
          <w:sz w:val="24"/>
          <w:szCs w:val="24"/>
          <w14:textFill>
            <w14:solidFill>
              <w14:schemeClr w14:val="tx1"/>
            </w14:solidFill>
          </w14:textFill>
        </w:rPr>
        <w:t>林</w:t>
      </w:r>
      <w:r>
        <w:rPr>
          <w:rFonts w:ascii="宋体" w:hAnsi="宋体" w:cs="Arial"/>
          <w:color w:val="000000" w:themeColor="text1"/>
          <w:sz w:val="24"/>
          <w:szCs w:val="24"/>
          <w14:textFill>
            <w14:solidFill>
              <w14:schemeClr w14:val="tx1"/>
            </w14:solidFill>
          </w14:textFill>
        </w:rPr>
        <w:t xml:space="preserve">老师     </w:t>
      </w:r>
    </w:p>
    <w:p>
      <w:pPr>
        <w:snapToGrid w:val="0"/>
        <w:spacing w:line="400" w:lineRule="exact"/>
        <w:ind w:firstLine="420"/>
        <w:rPr>
          <w:rFonts w:ascii="宋体" w:hAnsi="宋体" w:cs="宋体"/>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联系电话：</w:t>
      </w:r>
      <w:r>
        <w:rPr>
          <w:rFonts w:ascii="宋体" w:hAnsi="宋体" w:cs="宋体"/>
          <w:color w:val="000000" w:themeColor="text1"/>
          <w:sz w:val="24"/>
          <w:szCs w:val="24"/>
          <w14:textFill>
            <w14:solidFill>
              <w14:schemeClr w14:val="tx1"/>
            </w14:solidFill>
          </w14:textFill>
        </w:rPr>
        <w:t>0579-866</w:t>
      </w:r>
      <w:r>
        <w:rPr>
          <w:rFonts w:hint="eastAsia" w:ascii="宋体" w:hAnsi="宋体" w:cs="宋体"/>
          <w:color w:val="000000" w:themeColor="text1"/>
          <w:sz w:val="24"/>
          <w:szCs w:val="24"/>
          <w14:textFill>
            <w14:solidFill>
              <w14:schemeClr w14:val="tx1"/>
            </w14:solidFill>
          </w14:textFill>
        </w:rPr>
        <w:t>64725</w:t>
      </w:r>
    </w:p>
    <w:p>
      <w:pPr>
        <w:pStyle w:val="2"/>
        <w:spacing w:line="400" w:lineRule="exact"/>
        <w:ind w:firstLine="210"/>
        <w:rPr>
          <w:color w:val="000000" w:themeColor="text1"/>
          <w:sz w:val="24"/>
          <w:szCs w:val="24"/>
          <w14:textFill>
            <w14:solidFill>
              <w14:schemeClr w14:val="tx1"/>
            </w14:solidFill>
          </w14:textFill>
        </w:rPr>
      </w:pPr>
    </w:p>
    <w:p>
      <w:pPr>
        <w:pStyle w:val="4"/>
        <w:rPr>
          <w:color w:val="000000" w:themeColor="text1"/>
          <w14:textFill>
            <w14:solidFill>
              <w14:schemeClr w14:val="tx1"/>
            </w14:solidFill>
          </w14:textFill>
        </w:rPr>
      </w:pPr>
    </w:p>
    <w:p>
      <w:r>
        <w:rPr>
          <w:rFonts w:hint="eastAsia"/>
        </w:rPr>
        <w:t xml:space="preserve">  </w:t>
      </w:r>
    </w:p>
    <w:p>
      <w:pPr>
        <w:snapToGrid w:val="0"/>
        <w:spacing w:line="400" w:lineRule="exact"/>
        <w:ind w:left="238"/>
        <w:jc w:val="center"/>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浙江广厦建设职业技术大学</w:t>
      </w:r>
    </w:p>
    <w:p>
      <w:pPr>
        <w:snapToGrid w:val="0"/>
        <w:spacing w:line="400" w:lineRule="exact"/>
        <w:ind w:firstLine="420"/>
        <w:rPr>
          <w:rFonts w:hint="eastAsia" w:ascii="宋体" w:hAnsi="宋体" w:eastAsia="宋体" w:cs="宋体"/>
          <w:color w:val="000000" w:themeColor="text1"/>
          <w:sz w:val="24"/>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lang w:eastAsia="zh-CN"/>
          <w14:textFill>
            <w14:solidFill>
              <w14:schemeClr w14:val="tx1"/>
            </w14:solidFill>
          </w14:textFill>
        </w:rPr>
        <w:t>2021年11月1</w:t>
      </w:r>
      <w:r>
        <w:rPr>
          <w:rFonts w:hint="eastAsia" w:ascii="宋体" w:hAnsi="宋体" w:cs="宋体"/>
          <w:b/>
          <w:color w:val="000000" w:themeColor="text1"/>
          <w:sz w:val="24"/>
          <w:lang w:val="en-US" w:eastAsia="zh-CN"/>
          <w14:textFill>
            <w14:solidFill>
              <w14:schemeClr w14:val="tx1"/>
            </w14:solidFill>
          </w14:textFill>
        </w:rPr>
        <w:t>7</w:t>
      </w:r>
      <w:r>
        <w:rPr>
          <w:rFonts w:hint="eastAsia" w:ascii="宋体" w:hAnsi="宋体" w:cs="宋体"/>
          <w:b/>
          <w:color w:val="000000" w:themeColor="text1"/>
          <w:sz w:val="24"/>
          <w:lang w:eastAsia="zh-CN"/>
          <w14:textFill>
            <w14:solidFill>
              <w14:schemeClr w14:val="tx1"/>
            </w14:solidFill>
          </w14:textFill>
        </w:rPr>
        <w:t>日</w:t>
      </w:r>
    </w:p>
    <w:p>
      <w:pPr>
        <w:rPr>
          <w:rFonts w:ascii="黑体" w:hAnsi="黑体" w:eastAsia="黑体"/>
          <w:color w:val="000000" w:themeColor="text1"/>
          <w:sz w:val="28"/>
          <w:szCs w:val="28"/>
          <w14:textFill>
            <w14:solidFill>
              <w14:schemeClr w14:val="tx1"/>
            </w14:solidFill>
          </w14:textFill>
        </w:rPr>
      </w:pPr>
    </w:p>
    <w:p>
      <w:pPr>
        <w:pageBreakBefore/>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 xml:space="preserve">附：                   </w:t>
      </w: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sz w:val="36"/>
          <w:szCs w:val="36"/>
        </w:rPr>
        <w:t>谈 判 响 应 确 认 函</w:t>
      </w:r>
    </w:p>
    <w:p>
      <w:pPr>
        <w:spacing w:line="500" w:lineRule="exact"/>
        <w:rPr>
          <w:rFonts w:ascii="宋体" w:hAnsi="宋体" w:cs="宋体"/>
          <w:sz w:val="28"/>
          <w:szCs w:val="28"/>
        </w:rPr>
      </w:pPr>
      <w:r>
        <w:rPr>
          <w:rFonts w:hint="eastAsia" w:ascii="宋体" w:hAnsi="宋体" w:cs="宋体"/>
          <w:bCs/>
          <w:color w:val="000000" w:themeColor="text1"/>
          <w:sz w:val="28"/>
          <w:szCs w:val="28"/>
          <w:u w:val="single"/>
          <w14:textFill>
            <w14:solidFill>
              <w14:schemeClr w14:val="tx1"/>
            </w14:solidFill>
          </w14:textFill>
        </w:rPr>
        <w:t>浙江广厦建设职业技术大学</w:t>
      </w:r>
      <w:r>
        <w:rPr>
          <w:rFonts w:ascii="宋体" w:hAnsi="宋体" w:cs="宋体"/>
          <w:bCs/>
          <w:color w:val="000000" w:themeColor="text1"/>
          <w:sz w:val="28"/>
          <w:szCs w:val="28"/>
          <w:u w:val="single"/>
          <w14:textFill>
            <w14:solidFill>
              <w14:schemeClr w14:val="tx1"/>
            </w14:solidFill>
          </w14:textFill>
        </w:rPr>
        <w:t>：</w:t>
      </w:r>
    </w:p>
    <w:p>
      <w:pPr>
        <w:spacing w:line="700" w:lineRule="exact"/>
        <w:ind w:firstLine="573"/>
        <w:rPr>
          <w:rFonts w:ascii="宋体" w:hAnsi="宋体" w:cs="宋体"/>
          <w:sz w:val="28"/>
          <w:szCs w:val="28"/>
        </w:rPr>
      </w:pPr>
      <w:r>
        <w:rPr>
          <w:rFonts w:hint="eastAsia" w:ascii="宋体" w:hAnsi="宋体" w:cs="宋体"/>
          <w:sz w:val="28"/>
          <w:szCs w:val="28"/>
        </w:rPr>
        <w:t>关于贵方发布的浙江广厦建设职业技术大学</w:t>
      </w:r>
      <w:r>
        <w:rPr>
          <w:rFonts w:hint="eastAsia" w:ascii="宋体" w:hAnsi="宋体" w:cs="宋体"/>
          <w:sz w:val="28"/>
          <w:szCs w:val="28"/>
          <w:lang w:eastAsia="zh-CN"/>
        </w:rPr>
        <w:t>无线耳机采购项目</w:t>
      </w:r>
      <w:r>
        <w:rPr>
          <w:rFonts w:hint="eastAsia" w:ascii="宋体" w:hAnsi="宋体" w:cs="宋体"/>
          <w:sz w:val="28"/>
          <w:szCs w:val="28"/>
        </w:rPr>
        <w:t>竞争性谈判公告，本单位愿意参加该项目的谈判。现予以确认！</w:t>
      </w: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报名标项：</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单位名称（公章）：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法定代表人或授权代表（签章）：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  话：</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邮  编：</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传  真：</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日  期：</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32"/>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联系人：</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手机号码：</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32"/>
          <w:u w:val="single"/>
          <w14:textFill>
            <w14:solidFill>
              <w14:schemeClr w14:val="tx1"/>
            </w14:solidFill>
          </w14:textFill>
        </w:rPr>
        <w:t xml:space="preserve">   </w:t>
      </w:r>
    </w:p>
    <w:p>
      <w:pPr>
        <w:widowControl/>
        <w:spacing w:line="500" w:lineRule="exact"/>
        <w:jc w:val="left"/>
        <w:rPr>
          <w:rFonts w:ascii="宋体" w:hAnsi="宋体" w:cs="宋体"/>
          <w:color w:val="000000" w:themeColor="text1"/>
          <w:sz w:val="28"/>
          <w:szCs w:val="28"/>
          <w:u w:val="single"/>
          <w14:textFill>
            <w14:solidFill>
              <w14:schemeClr w14:val="tx1"/>
            </w14:solidFill>
          </w14:textFill>
        </w:rPr>
      </w:pPr>
    </w:p>
    <w:p>
      <w:pPr>
        <w:widowControl/>
        <w:spacing w:line="500" w:lineRule="exact"/>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电子邮箱：</w:t>
      </w:r>
      <w:r>
        <w:rPr>
          <w:rFonts w:ascii="宋体" w:hAnsi="宋体" w:cs="宋体"/>
          <w:color w:val="000000" w:themeColor="text1"/>
          <w:sz w:val="28"/>
          <w:szCs w:val="28"/>
          <w:u w:val="single"/>
          <w14:textFill>
            <w14:solidFill>
              <w14:schemeClr w14:val="tx1"/>
            </w14:solidFill>
          </w14:textFill>
        </w:rPr>
        <w:t xml:space="preserve">                       </w:t>
      </w:r>
    </w:p>
    <w:p>
      <w:pPr>
        <w:widowControl/>
        <w:spacing w:line="192" w:lineRule="auto"/>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注：此投标确认</w:t>
      </w:r>
      <w:r>
        <w:rPr>
          <w:rFonts w:ascii="宋体" w:hAnsi="宋体" w:cs="宋体"/>
          <w:color w:val="auto"/>
          <w:sz w:val="28"/>
          <w:szCs w:val="28"/>
        </w:rPr>
        <w:t>函请于</w:t>
      </w:r>
      <w:r>
        <w:rPr>
          <w:rFonts w:hint="eastAsia" w:ascii="宋体" w:hAnsi="宋体" w:cs="宋体"/>
          <w:color w:val="auto"/>
          <w:sz w:val="28"/>
          <w:szCs w:val="28"/>
        </w:rPr>
        <w:t>2021年</w:t>
      </w:r>
      <w:r>
        <w:rPr>
          <w:rFonts w:hint="eastAsia" w:ascii="宋体" w:hAnsi="宋体" w:cs="宋体"/>
          <w:color w:val="auto"/>
          <w:sz w:val="28"/>
          <w:szCs w:val="28"/>
          <w:lang w:val="en-US" w:eastAsia="zh-CN"/>
        </w:rPr>
        <w:t>11</w:t>
      </w:r>
      <w:r>
        <w:rPr>
          <w:rFonts w:hint="eastAsia" w:ascii="宋体" w:hAnsi="宋体" w:cs="宋体"/>
          <w:color w:val="auto"/>
          <w:sz w:val="28"/>
          <w:szCs w:val="28"/>
        </w:rPr>
        <w:t>月2</w:t>
      </w:r>
      <w:r>
        <w:rPr>
          <w:rFonts w:hint="eastAsia" w:ascii="宋体" w:hAnsi="宋体" w:cs="宋体"/>
          <w:color w:val="auto"/>
          <w:sz w:val="28"/>
          <w:szCs w:val="28"/>
          <w:lang w:val="en-US" w:eastAsia="zh-CN"/>
        </w:rPr>
        <w:t>5</w:t>
      </w:r>
      <w:r>
        <w:rPr>
          <w:rFonts w:hint="eastAsia" w:ascii="宋体" w:hAnsi="宋体" w:cs="宋体"/>
          <w:color w:val="auto"/>
          <w:sz w:val="28"/>
          <w:szCs w:val="28"/>
        </w:rPr>
        <w:t>日16时00分前</w:t>
      </w:r>
      <w:r>
        <w:rPr>
          <w:rFonts w:ascii="宋体" w:hAnsi="宋体" w:cs="宋体"/>
          <w:color w:val="auto"/>
          <w:sz w:val="28"/>
          <w:szCs w:val="28"/>
        </w:rPr>
        <w:t>通</w:t>
      </w:r>
      <w:r>
        <w:rPr>
          <w:rFonts w:ascii="宋体" w:hAnsi="宋体" w:cs="宋体"/>
          <w:color w:val="000000" w:themeColor="text1"/>
          <w:sz w:val="28"/>
          <w:szCs w:val="28"/>
          <w14:textFill>
            <w14:solidFill>
              <w14:schemeClr w14:val="tx1"/>
            </w14:solidFill>
          </w14:textFill>
        </w:rPr>
        <w:t>过邮箱方式</w:t>
      </w:r>
      <w:r>
        <w:rPr>
          <w:rFonts w:hint="eastAsia" w:ascii="宋体" w:hAnsi="宋体" w:cs="宋体"/>
          <w:color w:val="000000" w:themeColor="text1"/>
          <w:sz w:val="28"/>
          <w:szCs w:val="28"/>
          <w14:textFill>
            <w14:solidFill>
              <w14:schemeClr w14:val="tx1"/>
            </w14:solidFill>
          </w14:textFill>
        </w:rPr>
        <w:t>或</w:t>
      </w:r>
      <w:r>
        <w:rPr>
          <w:rFonts w:ascii="宋体" w:hAnsi="宋体" w:cs="宋体"/>
          <w:color w:val="000000" w:themeColor="text1"/>
          <w:sz w:val="28"/>
          <w:szCs w:val="28"/>
          <w14:textFill>
            <w14:solidFill>
              <w14:schemeClr w14:val="tx1"/>
            </w14:solidFill>
          </w14:textFill>
        </w:rPr>
        <w:t>送达</w:t>
      </w:r>
      <w:r>
        <w:rPr>
          <w:rFonts w:hint="eastAsia" w:ascii="宋体" w:hAnsi="宋体" w:cs="宋体"/>
          <w:color w:val="000000" w:themeColor="text1"/>
          <w:sz w:val="28"/>
          <w:szCs w:val="28"/>
          <w14:textFill>
            <w14:solidFill>
              <w14:schemeClr w14:val="tx1"/>
            </w14:solidFill>
          </w14:textFill>
        </w:rPr>
        <w:t>至浙江广厦建设职业技术大学213办公室</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r>
        <w:rPr>
          <w:rFonts w:ascii="宋体" w:hAnsi="宋体" w:cs="宋体"/>
          <w:color w:val="000000" w:themeColor="text1"/>
          <w:sz w:val="28"/>
          <w:szCs w:val="28"/>
          <w14:textFill>
            <w14:solidFill>
              <w14:schemeClr w14:val="tx1"/>
            </w14:solidFill>
          </w14:textFill>
        </w:rPr>
        <w:t>，邮箱：</w:t>
      </w:r>
      <w:r>
        <w:rPr>
          <w:rFonts w:hint="eastAsia" w:ascii="宋体" w:hAnsi="宋体" w:cs="宋体"/>
          <w:color w:val="000000" w:themeColor="text1"/>
          <w:sz w:val="28"/>
          <w:szCs w:val="28"/>
          <w14:textFill>
            <w14:solidFill>
              <w14:schemeClr w14:val="tx1"/>
            </w14:solidFill>
          </w14:textFill>
        </w:rPr>
        <w:t>953715462</w:t>
      </w:r>
      <w:r>
        <w:rPr>
          <w:rFonts w:ascii="宋体" w:hAnsi="宋体" w:cs="宋体"/>
          <w:color w:val="000000" w:themeColor="text1"/>
          <w:sz w:val="28"/>
          <w:szCs w:val="28"/>
          <w14:textFill>
            <w14:solidFill>
              <w14:schemeClr w14:val="tx1"/>
            </w14:solidFill>
          </w14:textFill>
        </w:rPr>
        <w:t>@qq.com）。</w:t>
      </w:r>
      <w:r>
        <w:rPr>
          <w:color w:val="000000" w:themeColor="text1"/>
          <w14:textFill>
            <w14:solidFill>
              <w14:schemeClr w14:val="tx1"/>
            </w14:solidFill>
          </w14:textFill>
        </w:rPr>
        <w:br w:type="page"/>
      </w:r>
    </w:p>
    <w:p>
      <w:pPr>
        <w:pStyle w:val="44"/>
        <w:snapToGrid w:val="0"/>
        <w:spacing w:line="480" w:lineRule="auto"/>
        <w:jc w:val="center"/>
        <w:outlineLvl w:val="0"/>
        <w:rPr>
          <w:rFonts w:asciiTheme="majorEastAsia" w:hAnsiTheme="majorEastAsia" w:eastAsiaTheme="majorEastAsia"/>
          <w:b/>
          <w:color w:val="000000" w:themeColor="text1"/>
          <w:sz w:val="32"/>
          <w:szCs w:val="32"/>
          <w14:textFill>
            <w14:solidFill>
              <w14:schemeClr w14:val="tx1"/>
            </w14:solidFill>
          </w14:textFill>
        </w:rPr>
      </w:pPr>
      <w:bookmarkStart w:id="1" w:name="_Toc28700"/>
      <w:r>
        <w:rPr>
          <w:rFonts w:asciiTheme="majorEastAsia" w:hAnsiTheme="majorEastAsia" w:eastAsiaTheme="majorEastAsia"/>
          <w:b/>
          <w:color w:val="000000" w:themeColor="text1"/>
          <w:sz w:val="32"/>
          <w:szCs w:val="32"/>
          <w14:textFill>
            <w14:solidFill>
              <w14:schemeClr w14:val="tx1"/>
            </w14:solidFill>
          </w14:textFill>
        </w:rPr>
        <w:t xml:space="preserve">第二章  </w:t>
      </w:r>
      <w:r>
        <w:rPr>
          <w:rFonts w:hint="eastAsia" w:cs="宋体" w:asciiTheme="majorEastAsia" w:hAnsiTheme="majorEastAsia" w:eastAsiaTheme="majorEastAsia"/>
          <w:b/>
          <w:sz w:val="32"/>
          <w:szCs w:val="32"/>
        </w:rPr>
        <w:t>采购项目需求</w:t>
      </w:r>
      <w:bookmarkEnd w:id="1"/>
    </w:p>
    <w:p>
      <w:pPr>
        <w:spacing w:line="480" w:lineRule="auto"/>
        <w:rPr>
          <w:rFonts w:hint="eastAsia" w:ascii="宋体" w:hAnsi="宋体" w:eastAsia="宋体" w:cs="宋体"/>
          <w:color w:val="000000" w:themeColor="text1"/>
          <w:sz w:val="24"/>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编号：</w:t>
      </w:r>
      <w:r>
        <w:rPr>
          <w:rFonts w:hint="eastAsia" w:ascii="宋体" w:hAnsi="宋体" w:cs="宋体"/>
          <w:color w:val="000000" w:themeColor="text1"/>
          <w:kern w:val="0"/>
          <w:sz w:val="24"/>
          <w:lang w:eastAsia="zh-CN"/>
          <w14:textFill>
            <w14:solidFill>
              <w14:schemeClr w14:val="tx1"/>
            </w14:solidFill>
          </w14:textFill>
        </w:rPr>
        <w:t>ZJGS2021-C018</w:t>
      </w:r>
    </w:p>
    <w:p>
      <w:pPr>
        <w:spacing w:line="480" w:lineRule="auto"/>
        <w:rPr>
          <w:rFonts w:hint="eastAsia" w:eastAsia="宋体"/>
          <w:bCs/>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采购项目名称：</w:t>
      </w:r>
      <w:r>
        <w:rPr>
          <w:rFonts w:hint="eastAsia" w:ascii="宋体" w:hAnsi="宋体" w:cs="Arial"/>
          <w:bCs/>
          <w:color w:val="000000" w:themeColor="text1"/>
          <w:sz w:val="24"/>
          <w:szCs w:val="20"/>
          <w14:textFill>
            <w14:solidFill>
              <w14:schemeClr w14:val="tx1"/>
            </w14:solidFill>
          </w14:textFill>
        </w:rPr>
        <w:t>浙江广厦建设职业技术大学</w:t>
      </w:r>
      <w:r>
        <w:rPr>
          <w:rFonts w:hint="eastAsia" w:ascii="宋体" w:hAnsi="宋体" w:cs="Arial"/>
          <w:bCs/>
          <w:color w:val="000000" w:themeColor="text1"/>
          <w:sz w:val="24"/>
          <w:szCs w:val="20"/>
          <w:lang w:eastAsia="zh-CN"/>
          <w14:textFill>
            <w14:solidFill>
              <w14:schemeClr w14:val="tx1"/>
            </w14:solidFill>
          </w14:textFill>
        </w:rPr>
        <w:t>无线耳机采购项目</w:t>
      </w:r>
    </w:p>
    <w:p>
      <w:pPr>
        <w:numPr>
          <w:ilvl w:val="0"/>
          <w:numId w:val="3"/>
        </w:numPr>
        <w:spacing w:line="276" w:lineRule="auto"/>
        <w:rPr>
          <w:rFonts w:ascii="宋体" w:hAnsi="宋体" w:cs="Arial"/>
          <w:b/>
          <w:color w:val="000000" w:themeColor="text1"/>
          <w:sz w:val="28"/>
          <w:szCs w:val="28"/>
          <w14:textFill>
            <w14:solidFill>
              <w14:schemeClr w14:val="tx1"/>
            </w14:solidFill>
          </w14:textFill>
        </w:rPr>
      </w:pPr>
      <w:r>
        <w:rPr>
          <w:rFonts w:ascii="宋体" w:hAnsi="宋体" w:cs="Arial"/>
          <w:b/>
          <w:color w:val="000000" w:themeColor="text1"/>
          <w:sz w:val="28"/>
          <w:szCs w:val="28"/>
          <w14:textFill>
            <w14:solidFill>
              <w14:schemeClr w14:val="tx1"/>
            </w14:solidFill>
          </w14:textFill>
        </w:rPr>
        <w:t xml:space="preserve">采购内容及数量 </w:t>
      </w:r>
    </w:p>
    <w:tbl>
      <w:tblPr>
        <w:tblStyle w:val="21"/>
        <w:tblW w:w="8856" w:type="dxa"/>
        <w:tblInd w:w="40" w:type="dxa"/>
        <w:tblLayout w:type="fixed"/>
        <w:tblCellMar>
          <w:top w:w="0" w:type="dxa"/>
          <w:left w:w="108" w:type="dxa"/>
          <w:bottom w:w="0" w:type="dxa"/>
          <w:right w:w="108" w:type="dxa"/>
        </w:tblCellMar>
      </w:tblPr>
      <w:tblGrid>
        <w:gridCol w:w="4791"/>
        <w:gridCol w:w="1785"/>
        <w:gridCol w:w="2280"/>
      </w:tblGrid>
      <w:tr>
        <w:tblPrEx>
          <w:tblCellMar>
            <w:top w:w="0" w:type="dxa"/>
            <w:left w:w="108" w:type="dxa"/>
            <w:bottom w:w="0" w:type="dxa"/>
            <w:right w:w="108" w:type="dxa"/>
          </w:tblCellMar>
        </w:tblPrEx>
        <w:trPr>
          <w:trHeight w:val="795"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暂定数量</w:t>
            </w:r>
          </w:p>
        </w:tc>
        <w:tc>
          <w:tcPr>
            <w:tcW w:w="2280"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b/>
                <w:color w:val="000000"/>
                <w:sz w:val="24"/>
                <w:lang w:val="zh-CN"/>
              </w:rPr>
            </w:pPr>
            <w:r>
              <w:rPr>
                <w:rFonts w:hint="eastAsia" w:ascii="宋体" w:hAnsi="宋体"/>
                <w:b/>
                <w:color w:val="000000"/>
                <w:sz w:val="24"/>
                <w:lang w:val="zh-CN"/>
              </w:rPr>
              <w:t>最高限价</w:t>
            </w:r>
          </w:p>
        </w:tc>
      </w:tr>
      <w:tr>
        <w:tblPrEx>
          <w:tblCellMar>
            <w:top w:w="0" w:type="dxa"/>
            <w:left w:w="108" w:type="dxa"/>
            <w:bottom w:w="0" w:type="dxa"/>
            <w:right w:w="108" w:type="dxa"/>
          </w:tblCellMar>
        </w:tblPrEx>
        <w:trPr>
          <w:trHeight w:val="782"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pStyle w:val="47"/>
              <w:spacing w:line="400" w:lineRule="exact"/>
              <w:ind w:firstLine="0" w:firstLineChars="0"/>
              <w:jc w:val="center"/>
              <w:rPr>
                <w:rFonts w:hint="eastAsia" w:ascii="宋体" w:hAnsi="宋体" w:eastAsia="宋体"/>
                <w:color w:val="000000" w:themeColor="text1"/>
                <w:kern w:val="0"/>
                <w:sz w:val="24"/>
                <w:lang w:val="zh-CN" w:eastAsia="zh-CN"/>
                <w14:textFill>
                  <w14:solidFill>
                    <w14:schemeClr w14:val="tx1"/>
                  </w14:solidFill>
                </w14:textFill>
              </w:rPr>
            </w:pPr>
            <w:r>
              <w:rPr>
                <w:rFonts w:hint="eastAsia" w:ascii="宋体" w:hAnsi="宋体" w:cs="Arial"/>
                <w:bCs/>
                <w:color w:val="000000" w:themeColor="text1"/>
                <w:sz w:val="24"/>
                <w:szCs w:val="20"/>
                <w:lang w:eastAsia="zh-CN"/>
                <w14:textFill>
                  <w14:solidFill>
                    <w14:schemeClr w14:val="tx1"/>
                  </w14:solidFill>
                </w14:textFill>
              </w:rPr>
              <w:t>无线耳机采购项目</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4500</w:t>
            </w:r>
          </w:p>
        </w:tc>
        <w:tc>
          <w:tcPr>
            <w:tcW w:w="22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25元/只</w:t>
            </w:r>
          </w:p>
        </w:tc>
      </w:tr>
    </w:tbl>
    <w:p/>
    <w:p>
      <w:pPr>
        <w:numPr>
          <w:ilvl w:val="0"/>
          <w:numId w:val="4"/>
        </w:numPr>
        <w:spacing w:line="360" w:lineRule="auto"/>
        <w:rPr>
          <w:rFonts w:ascii="宋体" w:hAnsi="宋体"/>
          <w:b/>
          <w:sz w:val="32"/>
          <w:szCs w:val="32"/>
        </w:rPr>
      </w:pPr>
      <w:r>
        <w:rPr>
          <w:rFonts w:cs="宋体"/>
          <w:b/>
          <w:sz w:val="28"/>
          <w:szCs w:val="28"/>
        </w:rPr>
        <w:t>技术参数及要求</w:t>
      </w:r>
    </w:p>
    <w:p>
      <w:pPr>
        <w:pStyle w:val="8"/>
        <w:spacing w:line="360" w:lineRule="auto"/>
        <w:rPr>
          <w:rFonts w:cs="宋体"/>
          <w:b/>
          <w:sz w:val="28"/>
          <w:szCs w:val="28"/>
        </w:rPr>
      </w:pPr>
      <w:r>
        <w:rPr>
          <w:rFonts w:hint="eastAsia" w:ascii="宋体" w:hAnsi="宋体" w:eastAsia="宋体" w:cs="宋体"/>
          <w:sz w:val="24"/>
          <w:lang w:val="en-US" w:eastAsia="zh-CN"/>
        </w:rPr>
        <w:t>学生学习用无线耳机</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1、耳机必须具备调频功能：</w:t>
      </w:r>
    </w:p>
    <w:p>
      <w:pPr>
        <w:spacing w:line="360" w:lineRule="auto"/>
        <w:ind w:left="130" w:leftChars="62"/>
        <w:jc w:val="left"/>
        <w:rPr>
          <w:rFonts w:hint="eastAsia" w:ascii="宋体" w:hAnsi="宋体"/>
          <w:sz w:val="24"/>
          <w:szCs w:val="24"/>
          <w:lang w:val="en-US" w:eastAsia="zh-CN"/>
        </w:rPr>
      </w:pPr>
      <w:r>
        <w:rPr>
          <w:rFonts w:hint="eastAsia" w:ascii="宋体" w:hAnsi="宋体"/>
          <w:sz w:val="24"/>
          <w:szCs w:val="24"/>
          <w:lang w:val="en-US" w:eastAsia="zh-CN"/>
        </w:rPr>
        <w:t>接收范围：调频：70-108MHZ，灵敏度：调频≤10μV，频率响应：50-15000HZ；</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2、信噪度≥50dB，输出功率≥50mW，整机失真度≤2%；</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3、额定功率：≥5mW；</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4、电源：直流3V，装二节五号AA电池（电池学生自备）；</w:t>
      </w:r>
    </w:p>
    <w:p>
      <w:pPr>
        <w:spacing w:line="360" w:lineRule="auto"/>
        <w:ind w:firstLine="480" w:firstLineChars="20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5、头戴折叠式，需有耳罩，</w:t>
      </w:r>
      <w:r>
        <w:rPr>
          <w:rFonts w:hint="eastAsia"/>
          <w:color w:val="000000"/>
          <w:sz w:val="24"/>
          <w:szCs w:val="24"/>
          <w:lang w:val="en-US" w:eastAsia="zh-CN"/>
        </w:rPr>
        <w:t>音质纯正、立体声效果好，</w:t>
      </w:r>
      <w:r>
        <w:rPr>
          <w:rFonts w:hint="eastAsia" w:ascii="宋体" w:hAnsi="宋体"/>
          <w:color w:val="000000"/>
          <w:sz w:val="24"/>
          <w:szCs w:val="24"/>
          <w:lang w:val="en-US" w:eastAsia="zh-CN"/>
        </w:rPr>
        <w:t>抗干扰能力强、结实、美观；</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6、显示屏为电子显示屏，可以准确显示接收频率；</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7、采用SMD元件设计，自动SMT贴片机生产工艺，设计合理，制作精良；</w:t>
      </w:r>
    </w:p>
    <w:p>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8、每年提供不少于200只备用耳机作为更换维修服务；</w:t>
      </w:r>
    </w:p>
    <w:p>
      <w:pPr>
        <w:pStyle w:val="3"/>
        <w:spacing w:line="360" w:lineRule="auto"/>
        <w:ind w:firstLine="480" w:firstLineChars="200"/>
        <w:rPr>
          <w:rFonts w:cs="宋体"/>
          <w:b/>
          <w:sz w:val="24"/>
          <w:szCs w:val="24"/>
        </w:rPr>
      </w:pPr>
      <w:r>
        <w:rPr>
          <w:rFonts w:hint="eastAsia" w:ascii="宋体" w:hAnsi="宋体"/>
          <w:sz w:val="24"/>
          <w:szCs w:val="24"/>
          <w:lang w:val="en-US" w:eastAsia="zh-CN"/>
        </w:rPr>
        <w:t>9、两年保修。</w:t>
      </w:r>
    </w:p>
    <w:p>
      <w:pPr>
        <w:spacing w:line="360" w:lineRule="auto"/>
        <w:ind w:firstLine="480" w:firstLineChars="200"/>
        <w:rPr>
          <w:rFonts w:hint="eastAsia"/>
          <w:highlight w:val="none"/>
        </w:rPr>
      </w:pPr>
      <w:r>
        <w:rPr>
          <w:rFonts w:hint="eastAsia" w:ascii="宋体" w:hAnsi="宋体" w:eastAsia="宋体" w:cs="宋体"/>
          <w:sz w:val="24"/>
          <w:szCs w:val="24"/>
          <w:highlight w:val="none"/>
        </w:rPr>
        <w:t>注:投标时提供不少于</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只同型号的耳机供评测使用（样品不退还）。耳机样品及磋商响应文件</w:t>
      </w:r>
      <w:r>
        <w:rPr>
          <w:rFonts w:hint="eastAsia" w:ascii="宋体" w:hAnsi="宋体" w:eastAsia="宋体" w:cs="宋体"/>
          <w:sz w:val="24"/>
          <w:szCs w:val="24"/>
          <w:highlight w:val="none"/>
          <w:lang w:eastAsia="zh-CN"/>
        </w:rPr>
        <w:t>于开标前寄至学校</w:t>
      </w:r>
      <w:r>
        <w:rPr>
          <w:rFonts w:hint="eastAsia" w:ascii="宋体" w:hAnsi="宋体" w:eastAsia="宋体" w:cs="宋体"/>
          <w:sz w:val="24"/>
          <w:szCs w:val="24"/>
          <w:highlight w:val="none"/>
        </w:rPr>
        <w:t>。</w:t>
      </w:r>
    </w:p>
    <w:p>
      <w:pPr>
        <w:pStyle w:val="12"/>
        <w:spacing w:line="360" w:lineRule="auto"/>
        <w:rPr>
          <w:rFonts w:hAnsi="宋体" w:cs="宋体"/>
          <w:b/>
        </w:rPr>
      </w:pPr>
      <w:r>
        <w:rPr>
          <w:rFonts w:hint="eastAsia" w:hAnsi="宋体" w:cs="宋体"/>
          <w:b/>
        </w:rPr>
        <w:t>三、商务要求</w:t>
      </w:r>
    </w:p>
    <w:p>
      <w:pPr>
        <w:snapToGrid w:val="0"/>
        <w:spacing w:line="360" w:lineRule="auto"/>
        <w:rPr>
          <w:rFonts w:ascii="宋体" w:hAnsi="宋体" w:cs="宋体"/>
          <w:b/>
          <w:bCs/>
          <w:color w:val="auto"/>
          <w:sz w:val="24"/>
        </w:rPr>
      </w:pPr>
      <w:r>
        <w:rPr>
          <w:rFonts w:hint="eastAsia" w:ascii="宋体" w:hAnsi="宋体" w:cs="宋体"/>
          <w:b/>
          <w:bCs/>
          <w:sz w:val="24"/>
        </w:rPr>
        <w:t>1、</w:t>
      </w:r>
      <w:r>
        <w:rPr>
          <w:rFonts w:hint="eastAsia" w:ascii="宋体" w:hAnsi="宋体" w:cs="宋体"/>
          <w:b/>
          <w:bCs/>
          <w:color w:val="auto"/>
          <w:sz w:val="24"/>
        </w:rPr>
        <w:t>项目投标报价要求</w:t>
      </w:r>
    </w:p>
    <w:p>
      <w:pPr>
        <w:snapToGrid w:val="0"/>
        <w:spacing w:line="360" w:lineRule="auto"/>
        <w:rPr>
          <w:rFonts w:ascii="宋体" w:hAnsi="宋体" w:cs="宋体"/>
          <w:color w:val="auto"/>
          <w:sz w:val="24"/>
        </w:rPr>
      </w:pPr>
      <w:r>
        <w:rPr>
          <w:rFonts w:hint="eastAsia" w:ascii="宋体" w:hAnsi="宋体" w:cs="宋体"/>
          <w:color w:val="auto"/>
          <w:sz w:val="24"/>
        </w:rPr>
        <w:t>（1）投标报价应包含完成本项目合同内容所涉及的全部费用，包含但不仅限于验收配合、第三方检测（如需）、售后服务以及完成采购需求所涉及的其他一切内容所需的全部费用，以及税金、人工费、管理费、合理利润、风险费、投标费用等一切成本及费用。谈判响应方的谈判报价为整个采购项目的总报价，如有漏项，视同已包含在项目中，合同总价不做调整。</w:t>
      </w:r>
    </w:p>
    <w:p>
      <w:pPr>
        <w:snapToGrid w:val="0"/>
        <w:spacing w:line="360" w:lineRule="auto"/>
        <w:ind w:left="210" w:leftChars="100" w:firstLine="240" w:firstLineChars="100"/>
        <w:rPr>
          <w:rFonts w:ascii="宋体" w:hAnsi="宋体" w:cs="宋体"/>
          <w:color w:val="auto"/>
          <w:sz w:val="24"/>
        </w:rPr>
      </w:pPr>
      <w:r>
        <w:rPr>
          <w:rFonts w:hint="eastAsia" w:ascii="宋体" w:hAnsi="宋体" w:cs="宋体"/>
          <w:color w:val="auto"/>
          <w:sz w:val="24"/>
        </w:rPr>
        <w:t>（2）按国家规定由中标人缴纳的各种税收已包含在投标总价内，由中标人向税务</w:t>
      </w:r>
    </w:p>
    <w:p>
      <w:pPr>
        <w:snapToGrid w:val="0"/>
        <w:spacing w:line="360" w:lineRule="auto"/>
        <w:rPr>
          <w:rFonts w:ascii="宋体" w:hAnsi="宋体" w:cs="宋体"/>
          <w:color w:val="auto"/>
          <w:sz w:val="24"/>
        </w:rPr>
      </w:pPr>
      <w:r>
        <w:rPr>
          <w:rFonts w:hint="eastAsia" w:ascii="宋体" w:hAnsi="宋体" w:cs="宋体"/>
          <w:color w:val="auto"/>
          <w:sz w:val="24"/>
        </w:rPr>
        <w:t>机关缴纳。</w:t>
      </w:r>
    </w:p>
    <w:p>
      <w:pPr>
        <w:snapToGrid w:val="0"/>
        <w:spacing w:line="360" w:lineRule="auto"/>
        <w:rPr>
          <w:rFonts w:ascii="宋体" w:hAnsi="宋体" w:cs="宋体"/>
          <w:b/>
          <w:bCs/>
          <w:color w:val="auto"/>
          <w:kern w:val="0"/>
          <w:sz w:val="24"/>
        </w:rPr>
      </w:pPr>
      <w:r>
        <w:rPr>
          <w:rFonts w:hint="eastAsia" w:ascii="宋体" w:hAnsi="宋体" w:cs="宋体"/>
          <w:b/>
          <w:bCs/>
          <w:color w:val="auto"/>
          <w:kern w:val="0"/>
          <w:sz w:val="24"/>
        </w:rPr>
        <w:t>2、售后服务要求</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sz w:val="24"/>
        </w:rPr>
        <w:t>（1）</w:t>
      </w:r>
      <w:r>
        <w:rPr>
          <w:rFonts w:hint="eastAsia" w:ascii="宋体" w:hAnsi="宋体" w:cs="宋体"/>
          <w:color w:val="auto"/>
          <w:kern w:val="0"/>
          <w:sz w:val="24"/>
        </w:rPr>
        <w:t>服务响应及维护：电话半小时内必须响应，现场排除故障响应时间小于8小时，24小时内恢复系统正常运行。重大技术问题，技术专家2小时内抵达现场，4小时内给予解决；若短期无法解决的，应及时提供应急措施，并提出书面解决方案报采购人批准。</w:t>
      </w:r>
    </w:p>
    <w:p>
      <w:pPr>
        <w:snapToGrid w:val="0"/>
        <w:spacing w:line="360" w:lineRule="auto"/>
        <w:ind w:firstLine="480" w:firstLineChars="200"/>
        <w:rPr>
          <w:rFonts w:ascii="宋体" w:hAnsi="宋体" w:cs="宋体"/>
          <w:b/>
          <w:bCs/>
          <w:color w:val="auto"/>
          <w:sz w:val="24"/>
        </w:rPr>
      </w:pPr>
      <w:r>
        <w:rPr>
          <w:rFonts w:hint="eastAsia" w:ascii="宋体" w:hAnsi="宋体" w:cs="宋体"/>
          <w:color w:val="auto"/>
          <w:sz w:val="24"/>
        </w:rPr>
        <w:t>（2）</w:t>
      </w:r>
      <w:r>
        <w:rPr>
          <w:rFonts w:hint="eastAsia" w:ascii="宋体" w:hAnsi="宋体" w:cs="宋体"/>
          <w:color w:val="auto"/>
          <w:kern w:val="0"/>
          <w:sz w:val="24"/>
        </w:rPr>
        <w:t>投标人必须保证解决项目所涉及的技术问题，如因技术原因无法满足采购人需求，由此产生的风险由投标人承担。</w:t>
      </w:r>
    </w:p>
    <w:p>
      <w:pPr>
        <w:snapToGrid w:val="0"/>
        <w:spacing w:line="360" w:lineRule="auto"/>
        <w:rPr>
          <w:rFonts w:ascii="宋体" w:hAnsi="宋体" w:cs="宋体"/>
          <w:b/>
          <w:bCs/>
          <w:color w:val="auto"/>
          <w:sz w:val="24"/>
        </w:rPr>
      </w:pPr>
      <w:r>
        <w:rPr>
          <w:rFonts w:hint="eastAsia" w:ascii="宋体" w:hAnsi="宋体" w:cs="宋体"/>
          <w:b/>
          <w:bCs/>
          <w:color w:val="auto"/>
          <w:sz w:val="24"/>
        </w:rPr>
        <w:t>3、质保期、工期</w:t>
      </w:r>
    </w:p>
    <w:p>
      <w:pPr>
        <w:snapToGrid w:val="0"/>
        <w:spacing w:line="360" w:lineRule="auto"/>
        <w:ind w:left="210" w:leftChars="100" w:firstLine="241" w:firstLineChars="100"/>
        <w:rPr>
          <w:rFonts w:ascii="宋体" w:hAnsi="宋体" w:cs="宋体"/>
          <w:b/>
          <w:bCs/>
          <w:color w:val="auto"/>
          <w:sz w:val="24"/>
        </w:rPr>
      </w:pPr>
      <w:r>
        <w:rPr>
          <w:rFonts w:hint="eastAsia" w:ascii="宋体" w:hAnsi="宋体" w:cs="宋体"/>
          <w:b/>
          <w:bCs/>
          <w:color w:val="auto"/>
          <w:sz w:val="24"/>
        </w:rPr>
        <w:t>（1）质保期：1年；免费保修期：</w:t>
      </w:r>
      <w:r>
        <w:rPr>
          <w:rFonts w:hint="eastAsia" w:ascii="宋体" w:hAnsi="宋体" w:cs="宋体"/>
          <w:b/>
          <w:bCs/>
          <w:color w:val="auto"/>
          <w:sz w:val="24"/>
          <w:lang w:val="en-US" w:eastAsia="zh-CN"/>
        </w:rPr>
        <w:t>2</w:t>
      </w:r>
      <w:r>
        <w:rPr>
          <w:rFonts w:hint="eastAsia" w:ascii="宋体" w:hAnsi="宋体" w:cs="宋体"/>
          <w:b/>
          <w:bCs/>
          <w:color w:val="auto"/>
          <w:sz w:val="24"/>
        </w:rPr>
        <w:t>年。</w:t>
      </w:r>
    </w:p>
    <w:p>
      <w:pPr>
        <w:snapToGrid w:val="0"/>
        <w:spacing w:line="360" w:lineRule="auto"/>
        <w:ind w:left="210" w:leftChars="100" w:firstLine="241" w:firstLineChars="100"/>
        <w:rPr>
          <w:rFonts w:ascii="宋体" w:hAnsi="宋体" w:cs="宋体"/>
          <w:color w:val="auto"/>
          <w:sz w:val="24"/>
        </w:rPr>
      </w:pPr>
      <w:r>
        <w:rPr>
          <w:rFonts w:hint="eastAsia" w:ascii="宋体" w:hAnsi="宋体" w:cs="宋体"/>
          <w:b/>
          <w:bCs/>
          <w:color w:val="auto"/>
          <w:sz w:val="24"/>
        </w:rPr>
        <w:t>（2）工期：</w:t>
      </w:r>
      <w:r>
        <w:rPr>
          <w:rFonts w:hint="eastAsia" w:ascii="宋体" w:hAnsi="宋体" w:cs="宋体"/>
          <w:b/>
          <w:bCs/>
          <w:color w:val="auto"/>
          <w:sz w:val="24"/>
          <w:lang w:val="en-US" w:eastAsia="zh-CN"/>
        </w:rPr>
        <w:t>2021年</w:t>
      </w:r>
      <w:r>
        <w:rPr>
          <w:rFonts w:hint="eastAsia" w:ascii="宋体" w:hAnsi="宋体" w:cs="宋体"/>
          <w:b/>
          <w:bCs/>
          <w:color w:val="auto"/>
          <w:sz w:val="24"/>
        </w:rPr>
        <w:t>1</w:t>
      </w:r>
      <w:r>
        <w:rPr>
          <w:rFonts w:hint="eastAsia" w:ascii="宋体" w:hAnsi="宋体" w:cs="宋体"/>
          <w:b/>
          <w:bCs/>
          <w:color w:val="auto"/>
          <w:sz w:val="24"/>
          <w:lang w:val="en-US" w:eastAsia="zh-CN"/>
        </w:rPr>
        <w:t>2</w:t>
      </w:r>
      <w:r>
        <w:rPr>
          <w:rFonts w:hint="eastAsia" w:ascii="宋体" w:hAnsi="宋体" w:cs="宋体"/>
          <w:b/>
          <w:bCs/>
          <w:color w:val="auto"/>
          <w:sz w:val="24"/>
        </w:rPr>
        <w:t>月</w:t>
      </w:r>
      <w:r>
        <w:rPr>
          <w:rFonts w:ascii="宋体" w:hAnsi="宋体" w:cs="宋体"/>
          <w:b/>
          <w:bCs/>
          <w:color w:val="auto"/>
          <w:sz w:val="24"/>
        </w:rPr>
        <w:t>1</w:t>
      </w:r>
      <w:r>
        <w:rPr>
          <w:rFonts w:hint="eastAsia" w:ascii="宋体" w:hAnsi="宋体" w:cs="宋体"/>
          <w:b/>
          <w:bCs/>
          <w:color w:val="auto"/>
          <w:sz w:val="24"/>
          <w:lang w:val="en-US" w:eastAsia="zh-CN"/>
        </w:rPr>
        <w:t>5</w:t>
      </w:r>
      <w:r>
        <w:rPr>
          <w:rFonts w:hint="eastAsia" w:ascii="宋体" w:hAnsi="宋体" w:cs="宋体"/>
          <w:b/>
          <w:bCs/>
          <w:color w:val="auto"/>
          <w:sz w:val="24"/>
        </w:rPr>
        <w:t>日</w:t>
      </w:r>
      <w:r>
        <w:rPr>
          <w:rFonts w:hint="eastAsia" w:ascii="宋体" w:hAnsi="宋体"/>
          <w:b/>
          <w:bCs/>
          <w:color w:val="auto"/>
          <w:sz w:val="24"/>
        </w:rPr>
        <w:t>前</w:t>
      </w:r>
      <w:r>
        <w:rPr>
          <w:rFonts w:hint="eastAsia" w:ascii="宋体" w:hAnsi="宋体"/>
          <w:b/>
          <w:bCs/>
          <w:color w:val="auto"/>
          <w:sz w:val="24"/>
          <w:lang w:eastAsia="zh-CN"/>
        </w:rPr>
        <w:t>完成</w:t>
      </w:r>
      <w:r>
        <w:rPr>
          <w:rFonts w:hint="eastAsia" w:ascii="宋体" w:hAnsi="宋体" w:cs="宋体"/>
          <w:b/>
          <w:bCs/>
          <w:color w:val="auto"/>
          <w:sz w:val="24"/>
        </w:rPr>
        <w:t>。</w:t>
      </w:r>
      <w:bookmarkStart w:id="2" w:name="_Toc225061454"/>
    </w:p>
    <w:p>
      <w:pPr>
        <w:pStyle w:val="53"/>
        <w:spacing w:before="78" w:after="78"/>
        <w:jc w:val="left"/>
        <w:rPr>
          <w:rFonts w:ascii="宋体" w:hAnsi="宋体" w:cs="宋体"/>
          <w:b/>
          <w:bCs/>
          <w:color w:val="auto"/>
          <w:szCs w:val="24"/>
        </w:rPr>
      </w:pPr>
      <w:r>
        <w:rPr>
          <w:rFonts w:hint="eastAsia" w:ascii="宋体" w:hAnsi="宋体" w:cs="宋体"/>
          <w:b/>
          <w:bCs/>
          <w:color w:val="auto"/>
          <w:szCs w:val="24"/>
        </w:rPr>
        <w:t>4、付款方式</w:t>
      </w:r>
    </w:p>
    <w:p>
      <w:pPr>
        <w:spacing w:line="360" w:lineRule="auto"/>
        <w:ind w:firstLine="480" w:firstLineChars="200"/>
        <w:rPr>
          <w:rFonts w:ascii="宋体" w:hAnsi="宋体"/>
          <w:sz w:val="24"/>
        </w:rPr>
      </w:pPr>
      <w:r>
        <w:rPr>
          <w:rFonts w:hint="eastAsia" w:ascii="宋体" w:hAnsi="宋体"/>
          <w:sz w:val="24"/>
        </w:rPr>
        <w:t>货款由采购人自行支付。全部货物安装完毕并验收合格后付至合同总额的95%；留5%作为质量保证金，在质保期履行满1年后10日内付清。</w:t>
      </w:r>
    </w:p>
    <w:p>
      <w:pPr>
        <w:snapToGrid w:val="0"/>
        <w:spacing w:line="360" w:lineRule="auto"/>
        <w:ind w:left="210" w:leftChars="100" w:firstLine="480" w:firstLineChars="200"/>
        <w:rPr>
          <w:rFonts w:ascii="宋体" w:hAnsi="宋体" w:cs="宋体"/>
          <w:sz w:val="24"/>
        </w:rPr>
      </w:pPr>
    </w:p>
    <w:bookmarkEnd w:id="2"/>
    <w:p>
      <w:pPr>
        <w:pStyle w:val="44"/>
        <w:pageBreakBefore/>
        <w:snapToGrid w:val="0"/>
        <w:spacing w:line="360" w:lineRule="auto"/>
        <w:jc w:val="center"/>
        <w:outlineLvl w:val="0"/>
        <w:rPr>
          <w:rFonts w:asciiTheme="minorEastAsia" w:hAnsiTheme="minorEastAsia" w:eastAsiaTheme="minorEastAsia"/>
          <w:b/>
          <w:color w:val="000000" w:themeColor="text1"/>
          <w:sz w:val="32"/>
          <w:szCs w:val="32"/>
          <w14:textFill>
            <w14:solidFill>
              <w14:schemeClr w14:val="tx1"/>
            </w14:solidFill>
          </w14:textFill>
        </w:rPr>
      </w:pPr>
      <w:bookmarkStart w:id="3" w:name="_Toc9075"/>
      <w:r>
        <w:rPr>
          <w:rFonts w:asciiTheme="minorEastAsia" w:hAnsiTheme="minorEastAsia" w:eastAsiaTheme="minorEastAsia"/>
          <w:b/>
          <w:color w:val="000000" w:themeColor="text1"/>
          <w:sz w:val="32"/>
          <w:szCs w:val="32"/>
          <w14:textFill>
            <w14:solidFill>
              <w14:schemeClr w14:val="tx1"/>
            </w14:solidFill>
          </w14:textFill>
        </w:rPr>
        <w:t xml:space="preserve">第三章  </w:t>
      </w:r>
      <w:bookmarkStart w:id="4" w:name="_Toc10818"/>
      <w:r>
        <w:rPr>
          <w:rFonts w:hint="eastAsia" w:asciiTheme="minorEastAsia" w:hAnsiTheme="minorEastAsia" w:eastAsiaTheme="minorEastAsia"/>
          <w:b/>
          <w:sz w:val="32"/>
          <w:szCs w:val="32"/>
        </w:rPr>
        <w:t>竞争性谈判须知</w:t>
      </w:r>
      <w:bookmarkEnd w:id="3"/>
      <w:bookmarkEnd w:id="4"/>
    </w:p>
    <w:p>
      <w:pPr>
        <w:spacing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前附表</w:t>
      </w:r>
    </w:p>
    <w:tbl>
      <w:tblPr>
        <w:tblStyle w:val="21"/>
        <w:tblW w:w="9542" w:type="dxa"/>
        <w:jc w:val="center"/>
        <w:tblLayout w:type="fixed"/>
        <w:tblCellMar>
          <w:top w:w="0" w:type="dxa"/>
          <w:left w:w="108" w:type="dxa"/>
          <w:bottom w:w="0" w:type="dxa"/>
          <w:right w:w="108" w:type="dxa"/>
        </w:tblCellMar>
      </w:tblPr>
      <w:tblGrid>
        <w:gridCol w:w="778"/>
        <w:gridCol w:w="8764"/>
      </w:tblGrid>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序号</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内容、要求</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浙江广厦建设职业技术大学</w:t>
            </w:r>
            <w:r>
              <w:rPr>
                <w:rFonts w:hint="eastAsia" w:ascii="宋体" w:hAnsi="宋体" w:cs="宋体"/>
                <w:color w:val="000000" w:themeColor="text1"/>
                <w:sz w:val="24"/>
                <w:lang w:eastAsia="zh-CN"/>
                <w14:textFill>
                  <w14:solidFill>
                    <w14:schemeClr w14:val="tx1"/>
                  </w14:solidFill>
                </w14:textFill>
              </w:rPr>
              <w:t>无线耳机采购项目</w:t>
            </w:r>
          </w:p>
        </w:tc>
      </w:tr>
      <w:tr>
        <w:tblPrEx>
          <w:tblCellMar>
            <w:top w:w="0" w:type="dxa"/>
            <w:left w:w="108" w:type="dxa"/>
            <w:bottom w:w="0" w:type="dxa"/>
            <w:right w:w="108" w:type="dxa"/>
          </w:tblCellMar>
        </w:tblPrEx>
        <w:trPr>
          <w:trHeight w:val="20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谈判报价及费用：1、本项目谈判应以人民币报价；2、不论谈判结果如何，谈判响应方均应自行承担所有与谈判有关的全部费用；</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答疑与澄清：投标截止时间1日前，招标人在公告栏上以书面形式公布招标文件的澄清或修改，并通知所有的投标人。</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z w:val="24"/>
              </w:rPr>
              <w:t>本项目谈判响应文件</w:t>
            </w:r>
            <w:r>
              <w:rPr>
                <w:rFonts w:ascii="宋体" w:hAnsi="宋体" w:cs="宋体"/>
                <w:sz w:val="24"/>
              </w:rPr>
              <w:t>正本</w:t>
            </w:r>
            <w:r>
              <w:rPr>
                <w:rFonts w:ascii="宋体" w:hAnsi="宋体" w:cs="宋体"/>
                <w:sz w:val="24"/>
                <w:u w:val="single"/>
              </w:rPr>
              <w:t xml:space="preserve"> </w:t>
            </w:r>
            <w:r>
              <w:rPr>
                <w:rFonts w:ascii="宋体" w:hAnsi="宋体" w:cs="Arial"/>
                <w:sz w:val="24"/>
                <w:u w:val="single"/>
              </w:rPr>
              <w:t>1</w:t>
            </w:r>
            <w:r>
              <w:rPr>
                <w:rFonts w:ascii="宋体" w:hAnsi="宋体" w:cs="宋体"/>
                <w:sz w:val="24"/>
                <w:u w:val="single"/>
              </w:rPr>
              <w:t xml:space="preserve"> </w:t>
            </w:r>
            <w:r>
              <w:rPr>
                <w:rFonts w:ascii="宋体" w:hAnsi="宋体" w:cs="宋体"/>
                <w:sz w:val="24"/>
              </w:rPr>
              <w:t>份；副本</w:t>
            </w:r>
            <w:r>
              <w:rPr>
                <w:rFonts w:ascii="宋体" w:hAnsi="宋体" w:cs="宋体"/>
                <w:sz w:val="24"/>
                <w:u w:val="single"/>
              </w:rPr>
              <w:t xml:space="preserve"> </w:t>
            </w:r>
            <w:r>
              <w:rPr>
                <w:rFonts w:hint="eastAsia" w:ascii="宋体" w:hAnsi="宋体" w:cs="Arial"/>
                <w:sz w:val="24"/>
                <w:u w:val="single"/>
                <w:lang w:val="en-US" w:eastAsia="zh-CN"/>
              </w:rPr>
              <w:t>2</w:t>
            </w:r>
            <w:r>
              <w:rPr>
                <w:rFonts w:ascii="宋体" w:hAnsi="宋体" w:cs="宋体"/>
                <w:sz w:val="24"/>
              </w:rPr>
              <w:t>份</w:t>
            </w:r>
            <w:r>
              <w:rPr>
                <w:rFonts w:hint="eastAsia" w:ascii="宋体" w:hAnsi="宋体" w:cs="宋体"/>
                <w:sz w:val="24"/>
                <w:lang w:eastAsia="zh-CN"/>
              </w:rPr>
              <w:t>。</w:t>
            </w:r>
          </w:p>
        </w:tc>
      </w:tr>
      <w:tr>
        <w:tblPrEx>
          <w:tblCellMar>
            <w:top w:w="0" w:type="dxa"/>
            <w:left w:w="108" w:type="dxa"/>
            <w:bottom w:w="0" w:type="dxa"/>
            <w:right w:w="108" w:type="dxa"/>
          </w:tblCellMar>
        </w:tblPrEx>
        <w:trPr>
          <w:trHeight w:val="5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sz w:val="24"/>
                <w:szCs w:val="24"/>
              </w:rPr>
            </w:pPr>
            <w:r>
              <w:rPr>
                <w:sz w:val="24"/>
                <w:szCs w:val="24"/>
              </w:rPr>
              <w:t>投标截止时间：</w:t>
            </w:r>
            <w:r>
              <w:rPr>
                <w:rFonts w:hint="eastAsia"/>
                <w:color w:val="C00000"/>
                <w:sz w:val="24"/>
                <w:szCs w:val="24"/>
                <w:lang w:eastAsia="zh-CN"/>
              </w:rPr>
              <w:t>2021年11月26日15时00分</w:t>
            </w:r>
            <w:r>
              <w:rPr>
                <w:rFonts w:hint="eastAsia"/>
                <w:color w:val="C00000"/>
                <w:sz w:val="24"/>
                <w:szCs w:val="24"/>
              </w:rPr>
              <w:t>前</w:t>
            </w:r>
          </w:p>
          <w:p>
            <w:pPr>
              <w:spacing w:line="360" w:lineRule="auto"/>
              <w:ind w:firstLine="480"/>
              <w:textAlignment w:val="top"/>
              <w:rPr>
                <w:rFonts w:ascii="宋体" w:hAnsi="宋体" w:cs="宋体"/>
                <w:sz w:val="24"/>
              </w:rPr>
            </w:pPr>
            <w:r>
              <w:rPr>
                <w:rFonts w:ascii="宋体" w:hAnsi="宋体" w:cs="宋体"/>
                <w:sz w:val="24"/>
              </w:rPr>
              <w:t>本项目采用不见面开标的形式开标，各投标人自行下载钉钉，在开标截止时间前1小时内采购人将邀请各投标人进入本项目钉钉群签到，并开启群视频直播，对开标现场情况进行全程直播。</w:t>
            </w:r>
          </w:p>
          <w:p>
            <w:pPr>
              <w:pStyle w:val="8"/>
              <w:ind w:left="0" w:leftChars="0" w:firstLine="0" w:firstLineChars="0"/>
              <w:rPr>
                <w:sz w:val="24"/>
                <w:szCs w:val="24"/>
              </w:rPr>
            </w:pPr>
            <w:r>
              <w:rPr>
                <w:rFonts w:ascii="宋体" w:hAnsi="宋体" w:cs="宋体"/>
                <w:sz w:val="24"/>
              </w:rPr>
              <w:t>各投标人应先将投标文件按照招标文件规定的密封要求进行密封，后快递邮寄至</w:t>
            </w:r>
            <w:r>
              <w:rPr>
                <w:rFonts w:hint="eastAsia" w:ascii="宋体" w:hAnsi="宋体" w:cs="宋体"/>
                <w:sz w:val="24"/>
                <w:lang w:eastAsia="zh-CN"/>
              </w:rPr>
              <w:t>浙江广厦建设职业技术大学</w:t>
            </w:r>
            <w:r>
              <w:rPr>
                <w:rFonts w:ascii="宋体" w:hAnsi="宋体" w:cs="宋体"/>
                <w:sz w:val="24"/>
              </w:rPr>
              <w:t>（地址：东阳市</w:t>
            </w:r>
            <w:r>
              <w:rPr>
                <w:rFonts w:hint="eastAsia" w:ascii="宋体" w:hAnsi="宋体" w:cs="宋体"/>
                <w:sz w:val="24"/>
                <w:lang w:eastAsia="zh-CN"/>
              </w:rPr>
              <w:t>广福东街</w:t>
            </w:r>
            <w:r>
              <w:rPr>
                <w:rFonts w:hint="eastAsia" w:ascii="宋体" w:hAnsi="宋体" w:cs="宋体"/>
                <w:sz w:val="24"/>
                <w:lang w:val="en-US" w:eastAsia="zh-CN"/>
              </w:rPr>
              <w:t>1</w:t>
            </w:r>
            <w:r>
              <w:rPr>
                <w:rFonts w:ascii="宋体" w:hAnsi="宋体" w:cs="宋体"/>
                <w:sz w:val="24"/>
              </w:rPr>
              <w:t>号；邮编：322100；联系电话：0579-866</w:t>
            </w:r>
            <w:r>
              <w:rPr>
                <w:rFonts w:hint="eastAsia" w:ascii="宋体" w:hAnsi="宋体" w:cs="宋体"/>
                <w:sz w:val="24"/>
                <w:lang w:val="en-US" w:eastAsia="zh-CN"/>
              </w:rPr>
              <w:t>64725</w:t>
            </w:r>
            <w:r>
              <w:rPr>
                <w:rFonts w:ascii="宋体" w:hAnsi="宋体" w:cs="宋体"/>
                <w:sz w:val="24"/>
              </w:rPr>
              <w:t>；联系人：</w:t>
            </w:r>
            <w:r>
              <w:rPr>
                <w:rFonts w:hint="eastAsia" w:ascii="宋体" w:hAnsi="宋体" w:cs="宋体"/>
                <w:sz w:val="24"/>
                <w:lang w:eastAsia="zh-CN"/>
              </w:rPr>
              <w:t>林青青</w:t>
            </w:r>
            <w:r>
              <w:rPr>
                <w:rFonts w:hint="eastAsia" w:ascii="宋体" w:hAnsi="宋体" w:cs="宋体"/>
                <w:color w:val="C00000"/>
                <w:sz w:val="24"/>
                <w:lang w:val="en-US" w:eastAsia="zh-CN"/>
              </w:rPr>
              <w:t xml:space="preserve"> 18405897695</w:t>
            </w:r>
            <w:r>
              <w:rPr>
                <w:rFonts w:ascii="宋体" w:hAnsi="宋体" w:cs="宋体"/>
                <w:sz w:val="24"/>
              </w:rPr>
              <w:t>），快递邮件应于</w:t>
            </w:r>
            <w:r>
              <w:rPr>
                <w:rFonts w:ascii="宋体" w:hAnsi="宋体" w:cs="宋体"/>
                <w:color w:val="C00000"/>
                <w:sz w:val="24"/>
              </w:rPr>
              <w:t>2021年</w:t>
            </w:r>
            <w:r>
              <w:rPr>
                <w:rFonts w:hint="eastAsia" w:ascii="宋体" w:hAnsi="宋体" w:cs="宋体"/>
                <w:color w:val="C00000"/>
                <w:sz w:val="24"/>
                <w:lang w:val="en-US" w:eastAsia="zh-CN"/>
              </w:rPr>
              <w:t>11</w:t>
            </w:r>
            <w:r>
              <w:rPr>
                <w:rFonts w:ascii="宋体" w:hAnsi="宋体" w:cs="宋体"/>
                <w:color w:val="C00000"/>
                <w:sz w:val="24"/>
              </w:rPr>
              <w:t>月</w:t>
            </w:r>
            <w:r>
              <w:rPr>
                <w:rFonts w:hint="eastAsia" w:ascii="宋体" w:hAnsi="宋体" w:cs="宋体"/>
                <w:color w:val="C00000"/>
                <w:sz w:val="24"/>
                <w:lang w:val="en-US" w:eastAsia="zh-CN"/>
              </w:rPr>
              <w:t>25</w:t>
            </w:r>
            <w:r>
              <w:rPr>
                <w:rFonts w:ascii="宋体" w:hAnsi="宋体" w:cs="宋体"/>
                <w:color w:val="C00000"/>
                <w:sz w:val="24"/>
              </w:rPr>
              <w:t>日16时00分</w:t>
            </w:r>
            <w:r>
              <w:rPr>
                <w:rFonts w:ascii="宋体" w:hAnsi="宋体" w:cs="宋体"/>
                <w:sz w:val="24"/>
              </w:rPr>
              <w:t>前送达</w:t>
            </w:r>
            <w:r>
              <w:rPr>
                <w:rFonts w:hint="eastAsia" w:ascii="宋体" w:hAnsi="宋体" w:cs="宋体"/>
                <w:sz w:val="24"/>
                <w:lang w:eastAsia="zh-CN"/>
              </w:rPr>
              <w:t>浙江广厦建设职业技术大学</w:t>
            </w:r>
            <w:r>
              <w:rPr>
                <w:rFonts w:ascii="宋体" w:hAnsi="宋体" w:cs="宋体"/>
                <w:sz w:val="24"/>
              </w:rPr>
              <w:t>，规定时间内收到的投标文件视为在投标截止时间前送达，逾期未送达的视为投标人放弃投标。</w:t>
            </w:r>
            <w:r>
              <w:rPr>
                <w:rFonts w:hint="eastAsia" w:ascii="宋体" w:hAnsi="宋体" w:cs="宋体"/>
                <w:sz w:val="24"/>
                <w:lang w:eastAsia="zh-CN"/>
              </w:rPr>
              <w:t>浙江广厦建设职业技术大学</w:t>
            </w:r>
            <w:r>
              <w:rPr>
                <w:rFonts w:ascii="宋体" w:hAnsi="宋体" w:cs="宋体"/>
                <w:sz w:val="24"/>
              </w:rPr>
              <w:t>将快递收到的投标文件原封（包括快递包装）不动的送往浙江广厦建设职业技术大学综合楼603开标室。</w:t>
            </w:r>
          </w:p>
        </w:tc>
      </w:tr>
      <w:tr>
        <w:tblPrEx>
          <w:tblCellMar>
            <w:top w:w="0" w:type="dxa"/>
            <w:left w:w="108" w:type="dxa"/>
            <w:bottom w:w="0" w:type="dxa"/>
            <w:right w:w="108" w:type="dxa"/>
          </w:tblCellMar>
        </w:tblPrEx>
        <w:trPr>
          <w:trHeight w:val="1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b/>
                <w:bCs/>
                <w:color w:val="000000" w:themeColor="text1"/>
                <w:sz w:val="24"/>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开标时间：</w:t>
            </w:r>
            <w:r>
              <w:rPr>
                <w:rFonts w:hint="eastAsia" w:ascii="宋体" w:hAnsi="宋体" w:cs="宋体"/>
                <w:color w:val="C00000"/>
                <w:sz w:val="24"/>
                <w:lang w:eastAsia="zh-CN"/>
              </w:rPr>
              <w:t>2021年11月26日15时00分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开标地址：浙江广厦建设职业技术大学综合楼603开标室</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sz w:val="24"/>
              </w:rPr>
              <w:t>评标办法：最低评标价法</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中标结果公告：自中标人确定之日起2个工作日内，招标人在公告栏上以书面形式公布中标结果。</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《中标通知书》的领取时间：中标单位应在中标结果公告结束日起，在3个工作日内领取，否则按放弃中标资格处理。</w:t>
            </w:r>
          </w:p>
        </w:tc>
      </w:tr>
      <w:tr>
        <w:tblPrEx>
          <w:tblCellMar>
            <w:top w:w="0" w:type="dxa"/>
            <w:left w:w="108" w:type="dxa"/>
            <w:bottom w:w="0" w:type="dxa"/>
            <w:right w:w="108" w:type="dxa"/>
          </w:tblCellMar>
        </w:tblPrEx>
        <w:trPr>
          <w:trHeight w:val="35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转入</w:t>
            </w:r>
            <w:r>
              <w:rPr>
                <w:rFonts w:ascii="宋体" w:hAnsi="宋体" w:cs="宋体"/>
                <w:color w:val="000000" w:themeColor="text1"/>
                <w:sz w:val="24"/>
                <w14:textFill>
                  <w14:solidFill>
                    <w14:schemeClr w14:val="tx1"/>
                  </w14:solidFill>
                </w14:textFill>
              </w:rPr>
              <w:t>浙江广厦建设职业技术大学</w:t>
            </w:r>
            <w:r>
              <w:rPr>
                <w:rFonts w:hint="eastAsia" w:ascii="宋体" w:hAnsi="宋体" w:cs="宋体"/>
                <w:color w:val="000000" w:themeColor="text1"/>
                <w:sz w:val="24"/>
                <w14:textFill>
                  <w14:solidFill>
                    <w14:schemeClr w14:val="tx1"/>
                  </w14:solidFill>
                </w14:textFill>
              </w:rPr>
              <w:t>指定银行账号</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开户行：工商银行东阳支行，账户：1</w:t>
            </w:r>
            <w:r>
              <w:rPr>
                <w:rFonts w:ascii="宋体" w:hAnsi="宋体" w:cs="宋体"/>
                <w:color w:val="000000" w:themeColor="text1"/>
                <w:sz w:val="24"/>
                <w14:textFill>
                  <w14:solidFill>
                    <w14:schemeClr w14:val="tx1"/>
                  </w14:solidFill>
                </w14:textFill>
              </w:rPr>
              <w:t>208040009049058362)</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在项目完成且验收合格（由采购人出具验收合格报告，要求原件）之日起15个工作日内退还。</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签订合同时间：发出《中标通知书》之日起30天内。</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w:t>
            </w:r>
            <w:r>
              <w:rPr>
                <w:rFonts w:ascii="宋体" w:hAnsi="宋体" w:cs="宋体"/>
                <w:color w:val="000000" w:themeColor="text1"/>
                <w:sz w:val="24"/>
                <w14:textFill>
                  <w14:solidFill>
                    <w14:schemeClr w14:val="tx1"/>
                  </w14:solidFill>
                </w14:textFill>
              </w:rPr>
              <w:t>标人与浙江广厦建设职业技术大学签订合同。</w:t>
            </w:r>
          </w:p>
        </w:tc>
      </w:tr>
      <w:tr>
        <w:tblPrEx>
          <w:tblCellMar>
            <w:top w:w="0" w:type="dxa"/>
            <w:left w:w="108" w:type="dxa"/>
            <w:bottom w:w="0" w:type="dxa"/>
            <w:right w:w="108" w:type="dxa"/>
          </w:tblCellMar>
        </w:tblPrEx>
        <w:trPr>
          <w:trHeight w:val="2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交货地点：浙江广厦建设职业技术大学内，采购人指定的地点。</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验收：根据中华人民共和国现行技术标准，按招标文件以及合同规定的验收评定标准等规范，由采购人组织相关人员进行验收，验收合格后，采购人出具验收报告。采购人出具一式二份验收报告（不含其它单位存档份数），一份由中标人保管，一份由</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（原件）存档。</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投标文件有效期：</w:t>
            </w:r>
            <w:r>
              <w:rPr>
                <w:rFonts w:ascii="宋体" w:hAnsi="宋体" w:cs="Arial"/>
                <w:color w:val="000000" w:themeColor="text1"/>
                <w:sz w:val="24"/>
                <w:u w:val="single"/>
                <w14:textFill>
                  <w14:solidFill>
                    <w14:schemeClr w14:val="tx1"/>
                  </w14:solidFill>
                </w14:textFill>
              </w:rPr>
              <w:t>60</w:t>
            </w:r>
            <w:r>
              <w:rPr>
                <w:rFonts w:ascii="宋体" w:hAnsi="宋体" w:cs="Arial"/>
                <w:color w:val="000000" w:themeColor="text1"/>
                <w:sz w:val="24"/>
                <w14:textFill>
                  <w14:solidFill>
                    <w14:schemeClr w14:val="tx1"/>
                  </w14:solidFill>
                </w14:textFill>
              </w:rPr>
              <w:t>天</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招标人对投标人的落选不作出任何解释。</w:t>
            </w:r>
          </w:p>
        </w:tc>
      </w:tr>
      <w:tr>
        <w:tblPrEx>
          <w:tblCellMar>
            <w:top w:w="0" w:type="dxa"/>
            <w:left w:w="108" w:type="dxa"/>
            <w:bottom w:w="0" w:type="dxa"/>
            <w:right w:w="108" w:type="dxa"/>
          </w:tblCellMar>
        </w:tblPrEx>
        <w:trPr>
          <w:trHeight w:val="13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w:t>
            </w:r>
            <w:r>
              <w:rPr>
                <w:rFonts w:hint="eastAsia" w:ascii="宋体" w:hAnsi="宋体" w:cs="宋体"/>
                <w:b/>
                <w:color w:val="000000" w:themeColor="text1"/>
                <w:sz w:val="24"/>
                <w14:textFill>
                  <w14:solidFill>
                    <w14:schemeClr w14:val="tx1"/>
                  </w14:solidFill>
                </w14:textFill>
              </w:rPr>
              <w:t>的</w:t>
            </w:r>
            <w:r>
              <w:rPr>
                <w:rFonts w:ascii="宋体" w:hAnsi="宋体" w:cs="宋体"/>
                <w:b/>
                <w:color w:val="000000" w:themeColor="text1"/>
                <w:sz w:val="24"/>
                <w14:textFill>
                  <w14:solidFill>
                    <w14:schemeClr w14:val="tx1"/>
                  </w14:solidFill>
                </w14:textFill>
              </w:rPr>
              <w:t>任何工作人员对投标人所作的任何口头解释、介绍、答复，仅供投标人参考，不作为招标依据，一切以网上公告及书面形式为准。</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解释：本招标文件的解释权属于</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w:t>
            </w:r>
          </w:p>
        </w:tc>
      </w:tr>
    </w:tbl>
    <w:p>
      <w:pPr>
        <w:spacing w:line="276" w:lineRule="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注：如本招标文件后面的条款与本表有矛盾的以本表的内容为准。</w:t>
      </w:r>
      <w:r>
        <w:rPr>
          <w:color w:val="000000" w:themeColor="text1"/>
          <w14:textFill>
            <w14:solidFill>
              <w14:schemeClr w14:val="tx1"/>
            </w14:solidFill>
          </w14:textFill>
        </w:rPr>
        <w:br w:type="page"/>
      </w:r>
    </w:p>
    <w:p>
      <w:pPr>
        <w:autoSpaceDE w:val="0"/>
        <w:autoSpaceDN w:val="0"/>
        <w:spacing w:before="156" w:beforeLines="50" w:line="440" w:lineRule="exact"/>
        <w:jc w:val="center"/>
        <w:textAlignment w:val="bottom"/>
        <w:rPr>
          <w:rFonts w:ascii="宋体" w:hAnsi="宋体"/>
          <w:b/>
          <w:bCs/>
          <w:sz w:val="32"/>
          <w:szCs w:val="32"/>
        </w:rPr>
      </w:pPr>
      <w:bookmarkStart w:id="5" w:name="_Toc515112306"/>
      <w:bookmarkStart w:id="6" w:name="_Toc24744"/>
      <w:r>
        <w:rPr>
          <w:rFonts w:hint="eastAsia" w:ascii="宋体" w:hAnsi="宋体"/>
          <w:b/>
          <w:bCs/>
          <w:sz w:val="32"/>
          <w:szCs w:val="32"/>
        </w:rPr>
        <w:t>第四章 竞争性谈判</w:t>
      </w:r>
      <w:bookmarkEnd w:id="5"/>
      <w:r>
        <w:rPr>
          <w:rFonts w:hint="eastAsia" w:ascii="宋体" w:hAnsi="宋体"/>
          <w:b/>
          <w:bCs/>
          <w:sz w:val="32"/>
          <w:szCs w:val="32"/>
        </w:rPr>
        <w:t>条款</w:t>
      </w:r>
      <w:bookmarkEnd w:id="6"/>
    </w:p>
    <w:p>
      <w:pPr>
        <w:autoSpaceDE w:val="0"/>
        <w:autoSpaceDN w:val="0"/>
        <w:spacing w:before="156" w:beforeLines="50" w:line="440" w:lineRule="exact"/>
        <w:textAlignment w:val="bottom"/>
        <w:rPr>
          <w:rFonts w:ascii="宋体" w:hAnsi="宋体" w:cs="宋体"/>
          <w:sz w:val="24"/>
        </w:rPr>
      </w:pPr>
      <w:r>
        <w:rPr>
          <w:rFonts w:hint="eastAsia" w:ascii="宋体" w:hAnsi="宋体" w:cs="宋体"/>
          <w:b/>
          <w:bCs/>
          <w:sz w:val="24"/>
        </w:rPr>
        <w:t>一、谈判响应文件的语言、计量及货币</w:t>
      </w:r>
    </w:p>
    <w:p>
      <w:pPr>
        <w:autoSpaceDE w:val="0"/>
        <w:autoSpaceDN w:val="0"/>
        <w:spacing w:line="440" w:lineRule="exact"/>
        <w:ind w:firstLine="480" w:firstLineChars="200"/>
        <w:textAlignment w:val="bottom"/>
        <w:rPr>
          <w:rFonts w:ascii="宋体" w:hAnsi="宋体" w:cs="宋体"/>
          <w:spacing w:val="-6"/>
          <w:kern w:val="0"/>
          <w:sz w:val="24"/>
        </w:rPr>
      </w:pPr>
      <w:r>
        <w:rPr>
          <w:rFonts w:hint="eastAsia" w:ascii="宋体" w:hAnsi="宋体" w:cs="宋体"/>
          <w:sz w:val="24"/>
        </w:rPr>
        <w:t>1. 与本次采购有关的来往通知、函件和文件均应使用中文</w:t>
      </w:r>
      <w:r>
        <w:rPr>
          <w:rFonts w:hint="eastAsia" w:ascii="宋体" w:hAnsi="宋体" w:cs="宋体"/>
          <w:spacing w:val="-6"/>
          <w:kern w:val="0"/>
          <w:sz w:val="24"/>
        </w:rPr>
        <w:t>编写。</w:t>
      </w:r>
    </w:p>
    <w:p>
      <w:pPr>
        <w:autoSpaceDE w:val="0"/>
        <w:autoSpaceDN w:val="0"/>
        <w:spacing w:line="440" w:lineRule="exact"/>
        <w:ind w:firstLine="480" w:firstLineChars="200"/>
        <w:textAlignment w:val="bottom"/>
        <w:rPr>
          <w:rFonts w:ascii="宋体" w:hAnsi="宋体" w:cs="宋体"/>
          <w:sz w:val="24"/>
        </w:rPr>
      </w:pPr>
      <w:r>
        <w:rPr>
          <w:rFonts w:hint="eastAsia" w:ascii="宋体" w:hAnsi="宋体" w:cs="宋体"/>
          <w:sz w:val="24"/>
        </w:rPr>
        <w:t>2. 除在技术规格中另有规定外，计量单位应使用公制单位。</w:t>
      </w:r>
    </w:p>
    <w:p>
      <w:pPr>
        <w:spacing w:line="440" w:lineRule="exact"/>
        <w:ind w:firstLine="480" w:firstLineChars="200"/>
        <w:rPr>
          <w:rFonts w:ascii="宋体" w:hAnsi="宋体" w:cs="宋体"/>
          <w:sz w:val="24"/>
        </w:rPr>
      </w:pPr>
      <w:r>
        <w:rPr>
          <w:rFonts w:hint="eastAsia" w:ascii="宋体" w:hAnsi="宋体" w:cs="宋体"/>
          <w:sz w:val="24"/>
        </w:rPr>
        <w:t>3. 货币为人民币，单位为元。</w:t>
      </w:r>
    </w:p>
    <w:p>
      <w:pPr>
        <w:spacing w:line="44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rPr>
        <w:t xml:space="preserve"> </w:t>
      </w:r>
      <w:r>
        <w:rPr>
          <w:rFonts w:hint="eastAsia" w:ascii="宋体" w:hAnsi="宋体" w:cs="宋体"/>
          <w:sz w:val="24"/>
        </w:rPr>
        <w:t>“*”、 “▲”、 “★”、 “※”系指实质性要求条款，不允许负偏离，否则废标处理。</w:t>
      </w:r>
    </w:p>
    <w:p>
      <w:pPr>
        <w:spacing w:line="440" w:lineRule="exact"/>
        <w:rPr>
          <w:rFonts w:ascii="宋体" w:hAnsi="宋体" w:cs="宋体"/>
          <w:b/>
          <w:bCs/>
          <w:sz w:val="24"/>
        </w:rPr>
      </w:pPr>
      <w:r>
        <w:rPr>
          <w:rFonts w:hint="eastAsia" w:ascii="宋体" w:hAnsi="宋体" w:cs="宋体"/>
          <w:b/>
          <w:bCs/>
          <w:sz w:val="24"/>
        </w:rPr>
        <w:t>二、对谈判响应文件的要求</w:t>
      </w:r>
    </w:p>
    <w:p>
      <w:pPr>
        <w:spacing w:line="440" w:lineRule="exact"/>
        <w:ind w:firstLine="480" w:firstLineChars="200"/>
        <w:rPr>
          <w:rFonts w:ascii="宋体" w:hAnsi="宋体" w:cs="宋体"/>
          <w:sz w:val="24"/>
        </w:rPr>
      </w:pPr>
      <w:r>
        <w:rPr>
          <w:rFonts w:hint="eastAsia" w:ascii="宋体" w:hAnsi="宋体" w:cs="宋体"/>
          <w:sz w:val="24"/>
        </w:rPr>
        <w:t>谈判响应方应仔细阅读采购文件的所有内容，按采购文件的要求提供谈判响应文件，并保证所提供的全部资料的真实性，以使其谈判对采购文件做出实质性响应，否则，其谈判可能被拒绝。</w:t>
      </w:r>
    </w:p>
    <w:p>
      <w:pPr>
        <w:spacing w:line="440" w:lineRule="exact"/>
        <w:rPr>
          <w:rFonts w:ascii="宋体" w:hAnsi="宋体" w:cs="宋体"/>
          <w:b/>
          <w:bCs/>
          <w:sz w:val="24"/>
        </w:rPr>
      </w:pPr>
      <w:r>
        <w:rPr>
          <w:rFonts w:hint="eastAsia" w:ascii="宋体" w:hAnsi="宋体" w:cs="宋体"/>
          <w:b/>
          <w:bCs/>
          <w:sz w:val="24"/>
        </w:rPr>
        <w:t>三、谈判响应文件的编制</w:t>
      </w:r>
    </w:p>
    <w:p>
      <w:pPr>
        <w:spacing w:line="440" w:lineRule="exact"/>
        <w:ind w:firstLine="482" w:firstLineChars="200"/>
        <w:rPr>
          <w:rFonts w:hint="eastAsia" w:ascii="宋体" w:hAnsi="宋体" w:cs="宋体"/>
          <w:spacing w:val="-4"/>
          <w:sz w:val="24"/>
        </w:rPr>
      </w:pPr>
      <w:r>
        <w:rPr>
          <w:rFonts w:hint="eastAsia" w:ascii="宋体" w:hAnsi="宋体"/>
          <w:b/>
          <w:sz w:val="24"/>
        </w:rPr>
        <w:t>★</w:t>
      </w:r>
      <w:r>
        <w:rPr>
          <w:rFonts w:hint="eastAsia" w:ascii="宋体" w:hAnsi="宋体" w:cs="宋体"/>
          <w:spacing w:val="-4"/>
          <w:sz w:val="24"/>
        </w:rPr>
        <w:t>谈判响应文件</w:t>
      </w:r>
      <w:r>
        <w:rPr>
          <w:rFonts w:hint="eastAsia" w:ascii="宋体" w:hAnsi="宋体" w:cs="宋体"/>
          <w:spacing w:val="-4"/>
          <w:sz w:val="24"/>
          <w:lang w:eastAsia="zh-CN"/>
        </w:rPr>
        <w:t>组成目录</w:t>
      </w:r>
      <w:r>
        <w:rPr>
          <w:rFonts w:hint="eastAsia" w:ascii="宋体" w:hAnsi="宋体" w:cs="宋体"/>
          <w:spacing w:val="-4"/>
          <w:sz w:val="24"/>
        </w:rPr>
        <w:t>。</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val="en-US" w:eastAsia="zh-CN"/>
        </w:rPr>
        <w:t>1、</w:t>
      </w:r>
      <w:r>
        <w:rPr>
          <w:rFonts w:hint="eastAsia" w:ascii="宋体" w:hAnsi="宋体" w:cs="宋体"/>
          <w:spacing w:val="-4"/>
          <w:sz w:val="24"/>
        </w:rPr>
        <w:t>投标函</w:t>
      </w:r>
      <w:r>
        <w:rPr>
          <w:rFonts w:ascii="宋体" w:hAnsi="宋体"/>
          <w:spacing w:val="-6"/>
          <w:sz w:val="24"/>
        </w:rPr>
        <w:t>（格式见附件）</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val="en-US" w:eastAsia="zh-CN"/>
        </w:rPr>
        <w:t>2、</w:t>
      </w:r>
      <w:r>
        <w:rPr>
          <w:rFonts w:hint="eastAsia" w:ascii="宋体" w:hAnsi="宋体" w:cs="宋体"/>
          <w:spacing w:val="-4"/>
          <w:sz w:val="24"/>
        </w:rPr>
        <w:t>初次报价表</w:t>
      </w:r>
      <w:r>
        <w:rPr>
          <w:rFonts w:ascii="宋体" w:hAnsi="宋体"/>
          <w:spacing w:val="-6"/>
          <w:sz w:val="24"/>
        </w:rPr>
        <w:t>（格式见附件）</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val="en-US" w:eastAsia="zh-CN"/>
        </w:rPr>
        <w:t>3、</w:t>
      </w:r>
      <w:r>
        <w:rPr>
          <w:rFonts w:hint="eastAsia" w:ascii="宋体" w:hAnsi="宋体" w:cs="宋体"/>
          <w:spacing w:val="-4"/>
          <w:sz w:val="24"/>
        </w:rPr>
        <w:t>供货及投标报价表</w:t>
      </w:r>
      <w:r>
        <w:rPr>
          <w:rFonts w:ascii="宋体" w:hAnsi="宋体"/>
          <w:spacing w:val="-6"/>
          <w:sz w:val="24"/>
        </w:rPr>
        <w:t>（格式见附件）</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val="en-US" w:eastAsia="zh-CN"/>
        </w:rPr>
        <w:t>4、</w:t>
      </w:r>
      <w:r>
        <w:rPr>
          <w:rFonts w:hint="eastAsia" w:ascii="宋体" w:hAnsi="宋体" w:cs="宋体"/>
          <w:spacing w:val="-4"/>
          <w:sz w:val="24"/>
        </w:rPr>
        <w:t>响应表</w:t>
      </w:r>
      <w:r>
        <w:rPr>
          <w:rFonts w:ascii="宋体" w:hAnsi="宋体"/>
          <w:spacing w:val="-6"/>
          <w:sz w:val="24"/>
        </w:rPr>
        <w:t>（格式见附件）</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val="en-US" w:eastAsia="zh-CN"/>
        </w:rPr>
        <w:t>5、</w:t>
      </w:r>
      <w:r>
        <w:rPr>
          <w:rFonts w:hint="eastAsia" w:ascii="宋体" w:hAnsi="宋体" w:cs="宋体"/>
          <w:spacing w:val="-4"/>
          <w:sz w:val="24"/>
        </w:rPr>
        <w:t>投标技术方案</w:t>
      </w:r>
      <w:r>
        <w:rPr>
          <w:rFonts w:hint="eastAsia" w:ascii="宋体" w:hAnsi="宋体" w:cs="宋体"/>
          <w:spacing w:val="-4"/>
          <w:sz w:val="24"/>
          <w:lang w:eastAsia="zh-CN"/>
        </w:rPr>
        <w:t>（针对耳机的接收方式、频率、显示屏、音质、天线、牢固程度、是否美观等阐述）</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val="en-US" w:eastAsia="zh-CN"/>
        </w:rPr>
        <w:t>6、</w:t>
      </w:r>
      <w:r>
        <w:rPr>
          <w:rFonts w:hint="eastAsia" w:ascii="宋体" w:hAnsi="宋体" w:cs="宋体"/>
          <w:spacing w:val="-4"/>
          <w:sz w:val="24"/>
        </w:rPr>
        <w:t>资格证明文件</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⑴</w:t>
      </w:r>
      <w:r>
        <w:rPr>
          <w:rFonts w:hint="eastAsia" w:ascii="宋体" w:hAnsi="宋体" w:cs="宋体"/>
          <w:spacing w:val="-4"/>
          <w:sz w:val="24"/>
        </w:rPr>
        <w:t>投标人简介</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⑵</w:t>
      </w:r>
      <w:r>
        <w:rPr>
          <w:rFonts w:hint="eastAsia" w:ascii="宋体" w:hAnsi="宋体" w:cs="宋体"/>
          <w:spacing w:val="-4"/>
          <w:sz w:val="24"/>
        </w:rPr>
        <w:t>营业执照（副本复印件并加盖单位公章）或法人证书（副本复印件并加盖单位公章）</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⑶</w:t>
      </w:r>
      <w:r>
        <w:rPr>
          <w:rFonts w:hint="eastAsia" w:ascii="宋体" w:hAnsi="宋体" w:cs="宋体"/>
          <w:spacing w:val="-4"/>
          <w:sz w:val="24"/>
        </w:rPr>
        <w:t>税务登记证（复印件并加盖单位公章）</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⑷</w:t>
      </w:r>
      <w:r>
        <w:rPr>
          <w:rFonts w:hint="eastAsia" w:ascii="宋体" w:hAnsi="宋体" w:cs="宋体"/>
          <w:spacing w:val="-4"/>
          <w:sz w:val="24"/>
        </w:rPr>
        <w:t>法定代表人授权书（法定代表人直接来投标不需要提供，须附上其身份证复印件）</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⑸</w:t>
      </w:r>
      <w:r>
        <w:rPr>
          <w:rFonts w:hint="eastAsia" w:ascii="宋体" w:hAnsi="宋体" w:cs="宋体"/>
          <w:spacing w:val="-4"/>
          <w:sz w:val="24"/>
        </w:rPr>
        <w:t>公司具有的资质、信誉证书及有关人员获得的资质证明材料</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⑹</w:t>
      </w:r>
      <w:r>
        <w:rPr>
          <w:rFonts w:hint="eastAsia" w:ascii="宋体" w:hAnsi="宋体" w:cs="宋体"/>
          <w:spacing w:val="-4"/>
          <w:sz w:val="24"/>
        </w:rPr>
        <w:t>能够证明投标人满足本项目资格要求所需的各种证明材料</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⑺</w:t>
      </w:r>
      <w:r>
        <w:rPr>
          <w:rFonts w:hint="eastAsia" w:ascii="宋体" w:hAnsi="宋体" w:cs="宋体"/>
          <w:spacing w:val="-4"/>
          <w:sz w:val="24"/>
        </w:rPr>
        <w:t>投标人业绩表及证明资料</w:t>
      </w:r>
      <w:r>
        <w:rPr>
          <w:rFonts w:ascii="宋体" w:hAnsi="宋体"/>
          <w:spacing w:val="-6"/>
          <w:sz w:val="24"/>
        </w:rPr>
        <w:t>（格式见附件）</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⑻</w:t>
      </w:r>
      <w:r>
        <w:rPr>
          <w:rFonts w:hint="eastAsia" w:ascii="宋体" w:hAnsi="宋体" w:cs="宋体"/>
          <w:spacing w:val="-4"/>
          <w:sz w:val="24"/>
        </w:rPr>
        <w:t>生产厂商授权书（</w:t>
      </w:r>
      <w:r>
        <w:rPr>
          <w:rFonts w:hint="eastAsia" w:ascii="宋体" w:hAnsi="宋体" w:cs="宋体"/>
          <w:spacing w:val="-4"/>
          <w:sz w:val="24"/>
          <w:lang w:eastAsia="zh-CN"/>
        </w:rPr>
        <w:t>如果有请提供</w:t>
      </w:r>
      <w:r>
        <w:rPr>
          <w:rFonts w:hint="eastAsia" w:ascii="宋体" w:hAnsi="宋体" w:cs="宋体"/>
          <w:spacing w:val="-4"/>
          <w:sz w:val="24"/>
        </w:rPr>
        <w:t>）</w:t>
      </w:r>
      <w:r>
        <w:rPr>
          <w:rFonts w:ascii="宋体" w:hAnsi="宋体"/>
          <w:spacing w:val="-6"/>
          <w:sz w:val="24"/>
        </w:rPr>
        <w:t>（格式见附件）</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⑼</w:t>
      </w:r>
      <w:r>
        <w:rPr>
          <w:rFonts w:hint="eastAsia" w:ascii="宋体" w:hAnsi="宋体" w:cs="宋体"/>
          <w:spacing w:val="-4"/>
          <w:sz w:val="24"/>
        </w:rPr>
        <w:t>有效产品彩页（原生产厂家的印刷品，并能够反映所投产品的技术参数和功能等）或说明书（如果有</w:t>
      </w:r>
      <w:r>
        <w:rPr>
          <w:rFonts w:hint="eastAsia" w:ascii="宋体" w:hAnsi="宋体" w:cs="宋体"/>
          <w:spacing w:val="-4"/>
          <w:sz w:val="24"/>
          <w:lang w:eastAsia="zh-CN"/>
        </w:rPr>
        <w:t>请提供</w:t>
      </w:r>
      <w:r>
        <w:rPr>
          <w:rFonts w:hint="eastAsia" w:ascii="宋体" w:hAnsi="宋体" w:cs="宋体"/>
          <w:spacing w:val="-4"/>
          <w:sz w:val="24"/>
        </w:rPr>
        <w:t>）</w:t>
      </w:r>
    </w:p>
    <w:p>
      <w:pPr>
        <w:spacing w:line="440" w:lineRule="exact"/>
        <w:ind w:firstLine="464" w:firstLineChars="200"/>
        <w:rPr>
          <w:rFonts w:hint="eastAsia" w:ascii="宋体" w:hAnsi="宋体" w:cs="宋体"/>
          <w:spacing w:val="-4"/>
          <w:sz w:val="24"/>
        </w:rPr>
      </w:pPr>
      <w:r>
        <w:rPr>
          <w:rFonts w:hint="eastAsia" w:ascii="宋体" w:hAnsi="宋体" w:cs="宋体"/>
          <w:spacing w:val="-4"/>
          <w:sz w:val="24"/>
          <w:lang w:eastAsia="zh-CN"/>
        </w:rPr>
        <w:t>⑽</w:t>
      </w:r>
      <w:r>
        <w:rPr>
          <w:rFonts w:hint="eastAsia" w:ascii="宋体" w:hAnsi="宋体" w:cs="宋体"/>
          <w:spacing w:val="-4"/>
          <w:sz w:val="24"/>
        </w:rPr>
        <w:t>售后服务及维保体系等</w:t>
      </w:r>
    </w:p>
    <w:p>
      <w:pPr>
        <w:spacing w:line="360" w:lineRule="auto"/>
        <w:ind w:firstLine="464" w:firstLineChars="200"/>
        <w:rPr>
          <w:rFonts w:hint="eastAsia" w:ascii="宋体" w:hAnsi="宋体" w:cs="宋体"/>
          <w:spacing w:val="-4"/>
          <w:sz w:val="24"/>
        </w:rPr>
      </w:pPr>
      <w:r>
        <w:rPr>
          <w:rFonts w:hint="eastAsia" w:ascii="宋体" w:hAnsi="宋体" w:cs="宋体"/>
          <w:spacing w:val="-4"/>
          <w:sz w:val="24"/>
          <w:lang w:val="en-US" w:eastAsia="zh-CN"/>
        </w:rPr>
        <w:t>7、</w:t>
      </w:r>
      <w:r>
        <w:rPr>
          <w:rFonts w:hint="eastAsia" w:ascii="宋体" w:hAnsi="宋体" w:cs="宋体"/>
          <w:spacing w:val="-4"/>
          <w:sz w:val="24"/>
        </w:rPr>
        <w:t>安全保证承诺</w:t>
      </w:r>
    </w:p>
    <w:p>
      <w:pPr>
        <w:pStyle w:val="2"/>
        <w:ind w:firstLine="464" w:firstLineChars="200"/>
        <w:rPr>
          <w:rFonts w:hint="default" w:eastAsia="宋体"/>
          <w:lang w:val="en-US" w:eastAsia="zh-CN"/>
        </w:rPr>
      </w:pPr>
      <w:r>
        <w:rPr>
          <w:rFonts w:hint="eastAsia" w:ascii="宋体" w:hAnsi="宋体" w:cs="宋体"/>
          <w:spacing w:val="-4"/>
          <w:sz w:val="24"/>
          <w:lang w:val="en-US" w:eastAsia="zh-CN"/>
        </w:rPr>
        <w:t>8、诚信承诺书</w:t>
      </w:r>
      <w:r>
        <w:rPr>
          <w:rFonts w:ascii="宋体" w:hAnsi="宋体"/>
          <w:spacing w:val="-6"/>
          <w:sz w:val="24"/>
        </w:rPr>
        <w:t>（格式见附件）</w:t>
      </w:r>
    </w:p>
    <w:p>
      <w:pPr>
        <w:pStyle w:val="2"/>
        <w:spacing w:line="360" w:lineRule="auto"/>
        <w:rPr>
          <w:rFonts w:hint="eastAsia" w:eastAsia="宋体"/>
          <w:lang w:eastAsia="zh-CN"/>
        </w:rPr>
      </w:pPr>
      <w:r>
        <w:rPr>
          <w:rFonts w:hint="eastAsia" w:ascii="宋体" w:hAnsi="宋体"/>
          <w:b/>
          <w:sz w:val="24"/>
        </w:rPr>
        <w:t>★</w:t>
      </w:r>
      <w:r>
        <w:rPr>
          <w:rFonts w:hint="eastAsia" w:ascii="宋体" w:hAnsi="宋体" w:eastAsia="宋体" w:cs="宋体"/>
          <w:sz w:val="24"/>
          <w:szCs w:val="24"/>
          <w:highlight w:val="yellow"/>
        </w:rPr>
        <w:t>提供不少于</w:t>
      </w:r>
      <w:r>
        <w:rPr>
          <w:rFonts w:hint="eastAsia" w:ascii="宋体" w:hAnsi="宋体" w:eastAsia="宋体" w:cs="宋体"/>
          <w:sz w:val="24"/>
          <w:szCs w:val="24"/>
          <w:highlight w:val="yellow"/>
          <w:lang w:val="en-US" w:eastAsia="zh-CN"/>
        </w:rPr>
        <w:t>1</w:t>
      </w:r>
      <w:r>
        <w:rPr>
          <w:rFonts w:hint="eastAsia" w:ascii="宋体" w:hAnsi="宋体" w:eastAsia="宋体" w:cs="宋体"/>
          <w:sz w:val="24"/>
          <w:szCs w:val="24"/>
          <w:highlight w:val="yellow"/>
        </w:rPr>
        <w:t>只同型号的耳机供评测使用（样品不退还）</w:t>
      </w:r>
      <w:r>
        <w:rPr>
          <w:rFonts w:hint="eastAsia" w:ascii="宋体" w:hAnsi="宋体" w:cs="宋体"/>
          <w:sz w:val="24"/>
          <w:szCs w:val="24"/>
          <w:highlight w:val="yellow"/>
          <w:lang w:eastAsia="zh-CN"/>
        </w:rPr>
        <w:t>，样品应单独密封并与投标文件密封袋放在同一个快递内。</w:t>
      </w:r>
    </w:p>
    <w:p>
      <w:pPr>
        <w:overflowPunct w:val="0"/>
        <w:autoSpaceDE w:val="0"/>
        <w:autoSpaceDN w:val="0"/>
        <w:adjustRightInd w:val="0"/>
        <w:spacing w:line="440" w:lineRule="exact"/>
        <w:textAlignment w:val="baseline"/>
        <w:rPr>
          <w:rFonts w:ascii="宋体" w:hAnsi="宋体" w:cs="宋体"/>
          <w:b/>
          <w:bCs/>
          <w:color w:val="auto"/>
          <w:kern w:val="0"/>
          <w:sz w:val="24"/>
        </w:rPr>
      </w:pPr>
      <w:r>
        <w:rPr>
          <w:rFonts w:hint="eastAsia" w:ascii="宋体" w:hAnsi="宋体" w:cs="宋体"/>
          <w:b/>
          <w:bCs/>
          <w:kern w:val="0"/>
          <w:sz w:val="24"/>
        </w:rPr>
        <w:t>四、</w:t>
      </w:r>
      <w:r>
        <w:rPr>
          <w:rFonts w:hint="eastAsia" w:ascii="宋体" w:hAnsi="宋体" w:cs="宋体"/>
          <w:b/>
          <w:bCs/>
          <w:color w:val="auto"/>
          <w:kern w:val="0"/>
          <w:sz w:val="24"/>
        </w:rPr>
        <w:t>谈判报价</w:t>
      </w:r>
    </w:p>
    <w:p>
      <w:pPr>
        <w:overflowPunct w:val="0"/>
        <w:autoSpaceDE w:val="0"/>
        <w:autoSpaceDN w:val="0"/>
        <w:adjustRightInd w:val="0"/>
        <w:spacing w:line="44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1.谈判报价最高限价：</w:t>
      </w:r>
      <w:r>
        <w:rPr>
          <w:rFonts w:hint="eastAsia" w:ascii="宋体" w:hAnsi="宋体" w:cs="宋体"/>
          <w:bCs/>
          <w:color w:val="auto"/>
          <w:kern w:val="0"/>
          <w:sz w:val="24"/>
          <w:lang w:val="en-US" w:eastAsia="zh-CN"/>
        </w:rPr>
        <w:t>25</w:t>
      </w:r>
      <w:r>
        <w:rPr>
          <w:rFonts w:hint="eastAsia" w:ascii="宋体" w:hAnsi="宋体" w:cs="宋体"/>
          <w:bCs/>
          <w:color w:val="auto"/>
          <w:kern w:val="0"/>
          <w:sz w:val="24"/>
        </w:rPr>
        <w:t>元</w:t>
      </w:r>
      <w:r>
        <w:rPr>
          <w:rFonts w:hint="eastAsia" w:ascii="宋体" w:hAnsi="宋体" w:cs="宋体"/>
          <w:bCs/>
          <w:color w:val="auto"/>
          <w:kern w:val="0"/>
          <w:sz w:val="24"/>
          <w:lang w:val="en-US" w:eastAsia="zh-CN"/>
        </w:rPr>
        <w:t>/只</w:t>
      </w:r>
      <w:r>
        <w:rPr>
          <w:rFonts w:ascii="宋体" w:hAnsi="宋体" w:cs="宋体"/>
          <w:bCs/>
          <w:color w:val="auto"/>
          <w:kern w:val="0"/>
          <w:sz w:val="24"/>
        </w:rPr>
        <w:t xml:space="preserve">； </w:t>
      </w:r>
    </w:p>
    <w:p>
      <w:pPr>
        <w:spacing w:line="440" w:lineRule="exact"/>
        <w:ind w:firstLine="480" w:firstLineChars="200"/>
        <w:rPr>
          <w:rFonts w:ascii="宋体" w:hAnsi="宋体" w:cs="宋体"/>
          <w:color w:val="auto"/>
          <w:spacing w:val="-4"/>
          <w:sz w:val="24"/>
        </w:rPr>
      </w:pPr>
      <w:r>
        <w:rPr>
          <w:rFonts w:hint="eastAsia" w:ascii="宋体" w:hAnsi="宋体" w:cs="宋体"/>
          <w:color w:val="auto"/>
          <w:sz w:val="24"/>
        </w:rPr>
        <w:t>2.谈判</w:t>
      </w:r>
      <w:r>
        <w:rPr>
          <w:rFonts w:hint="eastAsia" w:ascii="宋体" w:hAnsi="宋体" w:cs="宋体"/>
          <w:color w:val="auto"/>
          <w:spacing w:val="-4"/>
          <w:sz w:val="24"/>
        </w:rPr>
        <w:t>报价是履行合同的价格，</w:t>
      </w:r>
      <w:r>
        <w:rPr>
          <w:rFonts w:hint="eastAsia" w:ascii="宋体" w:hAnsi="宋体" w:cs="宋体"/>
          <w:color w:val="auto"/>
          <w:sz w:val="24"/>
        </w:rPr>
        <w:t>应包含完成本项目合同内容所涉及的全部费用，包含但不仅限于所需软件的验收配合、第三方检测（如需）、售后服务以及完成采购需求所涉及的其他一切内容所需的全部费用，以及税金、人工费、管理费、合理利润、风险费、投标费用等一切成本及费用。</w:t>
      </w:r>
      <w:r>
        <w:rPr>
          <w:rFonts w:hint="eastAsia" w:ascii="宋体" w:hAnsi="宋体" w:cs="宋体"/>
          <w:color w:val="auto"/>
          <w:spacing w:val="-4"/>
          <w:sz w:val="24"/>
        </w:rPr>
        <w:t>谈判响应</w:t>
      </w:r>
      <w:r>
        <w:rPr>
          <w:rFonts w:hint="eastAsia" w:ascii="宋体" w:hAnsi="宋体" w:cs="宋体"/>
          <w:bCs/>
          <w:color w:val="auto"/>
          <w:spacing w:val="-4"/>
          <w:sz w:val="24"/>
        </w:rPr>
        <w:t>方</w:t>
      </w:r>
      <w:r>
        <w:rPr>
          <w:rFonts w:hint="eastAsia" w:ascii="宋体" w:hAnsi="宋体" w:cs="宋体"/>
          <w:color w:val="auto"/>
          <w:spacing w:val="-4"/>
          <w:sz w:val="24"/>
        </w:rPr>
        <w:t>的谈判报价为整个采购项目的总报价，如有漏项，视同已包含在项目中，合同总价不做调整。</w:t>
      </w:r>
    </w:p>
    <w:p>
      <w:pPr>
        <w:spacing w:line="440" w:lineRule="exact"/>
        <w:ind w:firstLine="480" w:firstLineChars="200"/>
        <w:rPr>
          <w:rFonts w:ascii="宋体" w:hAnsi="宋体" w:cs="宋体"/>
          <w:color w:val="auto"/>
          <w:sz w:val="24"/>
        </w:rPr>
      </w:pPr>
      <w:r>
        <w:rPr>
          <w:rFonts w:hint="eastAsia" w:ascii="宋体" w:hAnsi="宋体" w:cs="宋体"/>
          <w:color w:val="auto"/>
          <w:sz w:val="24"/>
        </w:rPr>
        <w:t>3．谈判响应方应在谈判响应文件和报价表上写明谈判总价。如果大写金额和小写金额不一致的，以大写金额为准；对不同文字文体谈判响应文件的解释发生异议的，以中文文件为准。</w:t>
      </w:r>
    </w:p>
    <w:p>
      <w:pPr>
        <w:overflowPunct w:val="0"/>
        <w:autoSpaceDE w:val="0"/>
        <w:autoSpaceDN w:val="0"/>
        <w:adjustRightInd w:val="0"/>
        <w:spacing w:line="440" w:lineRule="exact"/>
        <w:textAlignment w:val="baseline"/>
        <w:rPr>
          <w:rFonts w:ascii="宋体" w:hAnsi="宋体" w:cs="宋体"/>
          <w:b/>
          <w:bCs/>
          <w:color w:val="auto"/>
          <w:kern w:val="0"/>
          <w:sz w:val="24"/>
        </w:rPr>
      </w:pPr>
      <w:r>
        <w:rPr>
          <w:rFonts w:hint="eastAsia" w:ascii="宋体" w:hAnsi="宋体" w:cs="宋体"/>
          <w:b/>
          <w:bCs/>
          <w:color w:val="auto"/>
          <w:kern w:val="0"/>
          <w:sz w:val="24"/>
        </w:rPr>
        <w:t>五、履约保证金</w:t>
      </w:r>
    </w:p>
    <w:p>
      <w:pPr>
        <w:spacing w:line="440" w:lineRule="exact"/>
        <w:rPr>
          <w:rFonts w:ascii="宋体" w:hAnsi="宋体" w:cs="宋体"/>
          <w:sz w:val="24"/>
        </w:rPr>
      </w:pPr>
      <w:r>
        <w:rPr>
          <w:rFonts w:hint="eastAsia" w:ascii="宋体" w:hAnsi="宋体" w:cs="宋体"/>
          <w:b/>
          <w:bCs/>
          <w:color w:val="auto"/>
          <w:kern w:val="0"/>
          <w:sz w:val="24"/>
        </w:rPr>
        <w:t xml:space="preserve"> </w:t>
      </w:r>
      <w:r>
        <w:rPr>
          <w:rFonts w:ascii="宋体" w:hAnsi="宋体" w:cs="宋体"/>
          <w:b/>
          <w:bCs/>
          <w:color w:val="auto"/>
          <w:kern w:val="0"/>
          <w:sz w:val="24"/>
        </w:rPr>
        <w:t xml:space="preserve">  </w:t>
      </w:r>
      <w:r>
        <w:rPr>
          <w:rFonts w:hint="eastAsia" w:ascii="宋体" w:hAnsi="宋体" w:cs="宋体"/>
          <w:color w:val="auto"/>
          <w:sz w:val="24"/>
        </w:rPr>
        <w:t>▲1.保证金形式</w:t>
      </w:r>
      <w:r>
        <w:rPr>
          <w:rFonts w:hint="eastAsia" w:ascii="宋体" w:hAnsi="宋体" w:cs="宋体"/>
          <w:sz w:val="24"/>
        </w:rPr>
        <w:t>：</w:t>
      </w:r>
      <w:r>
        <w:rPr>
          <w:rFonts w:hint="eastAsia" w:ascii="宋体" w:hAnsi="宋体" w:cs="宋体"/>
          <w:sz w:val="24"/>
          <w:u w:val="single"/>
        </w:rPr>
        <w:t>汇票、电汇、转帐</w:t>
      </w:r>
      <w:r>
        <w:rPr>
          <w:rFonts w:hint="eastAsia" w:ascii="宋体" w:hAnsi="宋体" w:cs="宋体"/>
          <w:sz w:val="24"/>
        </w:rPr>
        <w:t xml:space="preserve">   </w:t>
      </w:r>
    </w:p>
    <w:p>
      <w:pPr>
        <w:spacing w:line="440" w:lineRule="exact"/>
        <w:ind w:firstLine="360" w:firstLineChars="150"/>
        <w:rPr>
          <w:rFonts w:ascii="宋体" w:hAnsi="宋体" w:cs="宋体"/>
          <w:sz w:val="24"/>
        </w:rPr>
      </w:pPr>
      <w:r>
        <w:rPr>
          <w:rFonts w:hint="eastAsia" w:ascii="宋体" w:hAnsi="宋体" w:cs="宋体"/>
          <w:sz w:val="24"/>
        </w:rPr>
        <w:t>▲2.中标人应在中标通知书发出后</w:t>
      </w:r>
      <w:r>
        <w:rPr>
          <w:rFonts w:hint="eastAsia" w:ascii="宋体" w:hAnsi="宋体" w:cs="宋体"/>
          <w:sz w:val="24"/>
          <w:u w:val="single"/>
        </w:rPr>
        <w:t>30</w:t>
      </w:r>
      <w:r>
        <w:rPr>
          <w:rFonts w:hint="eastAsia" w:ascii="宋体" w:hAnsi="宋体" w:cs="宋体"/>
          <w:sz w:val="24"/>
        </w:rPr>
        <w:t>日内与采购人签订合同，履约保证金为中标价的5%，在领取中标通知书前向采购人指定账户交纳。</w:t>
      </w: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六、谈判响应文件有效期</w:t>
      </w:r>
    </w:p>
    <w:p>
      <w:pPr>
        <w:spacing w:line="440" w:lineRule="exact"/>
        <w:ind w:firstLine="480" w:firstLineChars="200"/>
        <w:rPr>
          <w:rFonts w:ascii="宋体" w:hAnsi="宋体" w:cs="宋体"/>
          <w:sz w:val="24"/>
        </w:rPr>
      </w:pPr>
      <w:r>
        <w:rPr>
          <w:rFonts w:hint="eastAsia" w:ascii="宋体" w:hAnsi="宋体" w:cs="宋体"/>
          <w:sz w:val="24"/>
        </w:rPr>
        <w:t>1、自谈判截止日起60天谈判响应文件应保持有效。有效期不足的谈判响应文件将被拒绝。</w:t>
      </w:r>
    </w:p>
    <w:p>
      <w:pPr>
        <w:spacing w:line="440" w:lineRule="exact"/>
        <w:ind w:firstLine="480" w:firstLineChars="200"/>
        <w:rPr>
          <w:rFonts w:ascii="宋体" w:hAnsi="宋体" w:cs="宋体"/>
          <w:sz w:val="24"/>
        </w:rPr>
      </w:pPr>
      <w:r>
        <w:rPr>
          <w:rFonts w:hint="eastAsia" w:ascii="宋体" w:hAnsi="宋体" w:cs="宋体"/>
          <w:sz w:val="24"/>
        </w:rPr>
        <w:t>2、在特殊情况下，谈判方可与谈判响应方协商延长谈判响应文件的有效期，这种要求和答复均以书面形式进行。</w:t>
      </w:r>
    </w:p>
    <w:p>
      <w:pPr>
        <w:spacing w:line="440" w:lineRule="exact"/>
        <w:ind w:firstLine="480" w:firstLineChars="200"/>
        <w:rPr>
          <w:rFonts w:ascii="宋体" w:hAnsi="宋体" w:cs="宋体"/>
          <w:sz w:val="24"/>
        </w:rPr>
      </w:pPr>
      <w:r>
        <w:rPr>
          <w:rFonts w:hint="eastAsia" w:ascii="宋体" w:hAnsi="宋体" w:cs="宋体"/>
          <w:sz w:val="24"/>
        </w:rPr>
        <w:t xml:space="preserve">3、谈判响应方可拒绝接受延期要求，但不能修改谈判响应文件。 </w:t>
      </w:r>
    </w:p>
    <w:p>
      <w:pPr>
        <w:spacing w:line="440" w:lineRule="exact"/>
        <w:ind w:firstLine="480" w:firstLineChars="200"/>
        <w:rPr>
          <w:rFonts w:hint="eastAsia" w:ascii="宋体" w:hAnsi="宋体"/>
          <w:b/>
          <w:sz w:val="24"/>
        </w:rPr>
      </w:pPr>
      <w:r>
        <w:rPr>
          <w:rFonts w:hint="eastAsia" w:ascii="宋体" w:hAnsi="宋体" w:cs="宋体"/>
          <w:sz w:val="24"/>
        </w:rPr>
        <w:t>4、中标人的谈判响应文件自开标之日起至合同履行完毕止均应保持有效。</w:t>
      </w:r>
    </w:p>
    <w:p>
      <w:pPr>
        <w:spacing w:line="360" w:lineRule="auto"/>
        <w:rPr>
          <w:rFonts w:ascii="宋体" w:hAnsi="宋体" w:cs="宋体"/>
          <w:b/>
          <w:sz w:val="24"/>
        </w:rPr>
      </w:pPr>
      <w:r>
        <w:rPr>
          <w:rFonts w:hint="eastAsia" w:ascii="宋体" w:hAnsi="宋体" w:cs="宋体"/>
          <w:b/>
          <w:sz w:val="24"/>
          <w:lang w:eastAsia="zh-CN"/>
        </w:rPr>
        <w:t>七、</w:t>
      </w:r>
      <w:r>
        <w:rPr>
          <w:rFonts w:ascii="宋体" w:hAnsi="宋体" w:cs="宋体"/>
          <w:b/>
          <w:sz w:val="24"/>
        </w:rPr>
        <w:t>投标文件的签署和份数</w:t>
      </w:r>
    </w:p>
    <w:p>
      <w:pPr>
        <w:spacing w:line="360" w:lineRule="auto"/>
        <w:ind w:firstLine="600"/>
        <w:rPr>
          <w:rFonts w:ascii="宋体" w:hAnsi="宋体" w:cs="宋体"/>
          <w:sz w:val="24"/>
        </w:rPr>
      </w:pPr>
      <w:r>
        <w:rPr>
          <w:rFonts w:ascii="宋体" w:hAnsi="宋体" w:cs="宋体"/>
          <w:sz w:val="24"/>
        </w:rPr>
        <w:t>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80"/>
        <w:rPr>
          <w:rFonts w:ascii="宋体" w:hAnsi="宋体" w:cs="宋体"/>
          <w:sz w:val="24"/>
        </w:rPr>
      </w:pPr>
      <w:r>
        <w:rPr>
          <w:rFonts w:ascii="宋体" w:hAnsi="宋体" w:cs="宋体"/>
          <w:sz w:val="24"/>
        </w:rPr>
        <w:t>2</w:t>
      </w:r>
      <w:r>
        <w:rPr>
          <w:rFonts w:ascii="宋体" w:hAnsi="宋体" w:cs="宋体"/>
          <w:spacing w:val="-10"/>
          <w:sz w:val="24"/>
        </w:rPr>
        <w:t>.投标文件应按正本1份和副本</w:t>
      </w:r>
      <w:r>
        <w:rPr>
          <w:rFonts w:hint="eastAsia" w:ascii="宋体" w:hAnsi="宋体" w:cs="宋体"/>
          <w:spacing w:val="-10"/>
          <w:sz w:val="24"/>
          <w:lang w:val="en-US" w:eastAsia="zh-CN"/>
        </w:rPr>
        <w:t>2</w:t>
      </w:r>
      <w:r>
        <w:rPr>
          <w:rFonts w:ascii="宋体" w:hAnsi="宋体" w:cs="宋体"/>
          <w:spacing w:val="-10"/>
          <w:sz w:val="24"/>
        </w:rPr>
        <w:t>份编制并单独装订成册，投标文件的封面应注明“正本”、“副本”字样。</w:t>
      </w:r>
    </w:p>
    <w:p>
      <w:pPr>
        <w:spacing w:line="360" w:lineRule="auto"/>
        <w:ind w:firstLine="480"/>
        <w:rPr>
          <w:rFonts w:ascii="宋体" w:hAnsi="宋体" w:cs="宋体"/>
          <w:sz w:val="24"/>
        </w:rPr>
      </w:pPr>
      <w:r>
        <w:rPr>
          <w:rFonts w:ascii="宋体" w:hAnsi="宋体" w:cs="宋体"/>
          <w:sz w:val="24"/>
        </w:rPr>
        <w:t>3.投标文件需打印或用不褪色的墨水填写，投标文件正本除本《投标人须知》中规定的可提供复印件外均须提供原件，副本可为正本的复印件。</w:t>
      </w:r>
    </w:p>
    <w:p>
      <w:pPr>
        <w:spacing w:line="360" w:lineRule="auto"/>
        <w:ind w:firstLine="472"/>
        <w:rPr>
          <w:rFonts w:ascii="宋体" w:hAnsi="宋体" w:cs="宋体"/>
          <w:b/>
          <w:sz w:val="24"/>
        </w:rPr>
      </w:pPr>
      <w:r>
        <w:rPr>
          <w:rFonts w:ascii="宋体" w:hAnsi="宋体" w:cs="宋体"/>
          <w:b/>
          <w:sz w:val="24"/>
        </w:rPr>
        <w:t>4.投标文件需盖章签字的地方必须由投标人法定代表人或法定代表人的授权委托人签署并加盖单位公章，投标人应写全称。</w:t>
      </w:r>
    </w:p>
    <w:p>
      <w:pPr>
        <w:spacing w:line="360" w:lineRule="auto"/>
        <w:ind w:firstLine="480"/>
        <w:rPr>
          <w:rFonts w:ascii="宋体" w:hAnsi="宋体" w:cs="宋体"/>
          <w:sz w:val="24"/>
        </w:rPr>
      </w:pPr>
      <w:r>
        <w:rPr>
          <w:rFonts w:ascii="宋体" w:hAnsi="宋体" w:cs="宋体"/>
          <w:sz w:val="24"/>
        </w:rPr>
        <w:t>5</w:t>
      </w:r>
      <w:r>
        <w:rPr>
          <w:rFonts w:ascii="宋体" w:hAnsi="宋体" w:cs="宋体"/>
          <w:spacing w:val="-6"/>
          <w:sz w:val="24"/>
        </w:rPr>
        <w:t>.投标文件不得涂改，若有修改错漏处，须加盖单位公章或者法定代表人或授权委托人签字或盖章。投标文件因字迹潦草或表达不清所引起的后果由投标人负责。</w:t>
      </w:r>
    </w:p>
    <w:p>
      <w:pPr>
        <w:spacing w:line="360" w:lineRule="auto"/>
        <w:rPr>
          <w:rFonts w:ascii="宋体" w:hAnsi="宋体" w:cs="宋体"/>
          <w:b/>
          <w:sz w:val="24"/>
        </w:rPr>
      </w:pPr>
      <w:r>
        <w:rPr>
          <w:rFonts w:hint="eastAsia" w:ascii="宋体" w:hAnsi="宋体" w:cs="宋体"/>
          <w:b/>
          <w:sz w:val="24"/>
          <w:lang w:eastAsia="zh-CN"/>
        </w:rPr>
        <w:t>八、</w:t>
      </w:r>
      <w:r>
        <w:rPr>
          <w:rFonts w:ascii="宋体" w:hAnsi="宋体" w:cs="宋体"/>
          <w:b/>
          <w:sz w:val="24"/>
        </w:rPr>
        <w:t>投标文件的装订、包装、递交、修改和撤回</w:t>
      </w:r>
    </w:p>
    <w:p>
      <w:pPr>
        <w:spacing w:line="360" w:lineRule="auto"/>
        <w:ind w:firstLine="480"/>
        <w:rPr>
          <w:rFonts w:ascii="宋体" w:hAnsi="宋体" w:cs="宋体"/>
          <w:sz w:val="24"/>
        </w:rPr>
      </w:pPr>
      <w:r>
        <w:rPr>
          <w:rFonts w:ascii="宋体" w:hAnsi="宋体" w:cs="宋体"/>
          <w:sz w:val="24"/>
        </w:rPr>
        <w:t>1.投标文件的包装和密封</w:t>
      </w:r>
    </w:p>
    <w:p>
      <w:pPr>
        <w:spacing w:line="360" w:lineRule="auto"/>
        <w:ind w:firstLine="480"/>
        <w:rPr>
          <w:rFonts w:ascii="宋体" w:hAnsi="宋体" w:cs="宋体"/>
          <w:sz w:val="24"/>
        </w:rPr>
      </w:pPr>
      <w:r>
        <w:rPr>
          <w:rFonts w:ascii="宋体" w:hAnsi="宋体" w:cs="宋体"/>
          <w:sz w:val="24"/>
        </w:rPr>
        <w:t>1.1投标文件应装订成册，按照投标文件的内容包装密封；</w:t>
      </w:r>
    </w:p>
    <w:p>
      <w:pPr>
        <w:spacing w:line="360" w:lineRule="auto"/>
        <w:ind w:firstLine="480"/>
        <w:rPr>
          <w:rFonts w:hint="eastAsia" w:ascii="宋体" w:hAnsi="宋体" w:eastAsia="宋体" w:cs="宋体"/>
          <w:sz w:val="24"/>
          <w:lang w:eastAsia="zh-CN"/>
        </w:rPr>
      </w:pPr>
      <w:r>
        <w:rPr>
          <w:rFonts w:ascii="宋体" w:hAnsi="宋体" w:cs="宋体"/>
          <w:sz w:val="24"/>
        </w:rPr>
        <w:t>1.2密封包装袋内装投标文件正本1份和副本</w:t>
      </w:r>
      <w:r>
        <w:rPr>
          <w:rFonts w:hint="eastAsia" w:ascii="宋体" w:hAnsi="宋体" w:cs="宋体"/>
          <w:sz w:val="24"/>
          <w:lang w:val="en-US" w:eastAsia="zh-CN"/>
        </w:rPr>
        <w:t>2</w:t>
      </w:r>
      <w:r>
        <w:rPr>
          <w:rFonts w:ascii="宋体" w:hAnsi="宋体" w:cs="宋体"/>
          <w:sz w:val="24"/>
        </w:rPr>
        <w:t>份；</w:t>
      </w:r>
    </w:p>
    <w:p>
      <w:pPr>
        <w:spacing w:line="360" w:lineRule="auto"/>
        <w:ind w:firstLine="480"/>
        <w:rPr>
          <w:rFonts w:ascii="宋体" w:hAnsi="宋体" w:cs="宋体"/>
          <w:sz w:val="24"/>
        </w:rPr>
      </w:pPr>
      <w:r>
        <w:rPr>
          <w:rFonts w:ascii="宋体" w:hAnsi="宋体" w:cs="宋体"/>
          <w:sz w:val="24"/>
        </w:rPr>
        <w:t>1.3密封包装袋封面上应标明“招标编号、投标项目名称、投标文件名称、投标人名称、</w:t>
      </w:r>
      <w:r>
        <w:rPr>
          <w:rFonts w:ascii="宋体" w:hAnsi="宋体" w:cs="宋体"/>
          <w:color w:val="C00000"/>
          <w:sz w:val="24"/>
        </w:rPr>
        <w:t>于2021年</w:t>
      </w:r>
      <w:r>
        <w:rPr>
          <w:rFonts w:hint="eastAsia" w:ascii="宋体" w:hAnsi="宋体" w:cs="宋体"/>
          <w:color w:val="C00000"/>
          <w:sz w:val="24"/>
          <w:lang w:val="en-US" w:eastAsia="zh-CN"/>
        </w:rPr>
        <w:t>11</w:t>
      </w:r>
      <w:r>
        <w:rPr>
          <w:rFonts w:ascii="宋体" w:hAnsi="宋体" w:cs="宋体"/>
          <w:color w:val="C00000"/>
          <w:sz w:val="24"/>
        </w:rPr>
        <w:t>月</w:t>
      </w:r>
      <w:r>
        <w:rPr>
          <w:rFonts w:hint="eastAsia" w:ascii="宋体" w:hAnsi="宋体" w:cs="宋体"/>
          <w:color w:val="C00000"/>
          <w:sz w:val="24"/>
          <w:lang w:val="en-US" w:eastAsia="zh-CN"/>
        </w:rPr>
        <w:t>26</w:t>
      </w:r>
      <w:r>
        <w:rPr>
          <w:rFonts w:ascii="宋体" w:hAnsi="宋体" w:cs="宋体"/>
          <w:color w:val="C00000"/>
          <w:sz w:val="24"/>
        </w:rPr>
        <w:t>日1</w:t>
      </w:r>
      <w:r>
        <w:rPr>
          <w:rFonts w:hint="eastAsia" w:ascii="宋体" w:hAnsi="宋体" w:cs="宋体"/>
          <w:color w:val="C00000"/>
          <w:sz w:val="24"/>
          <w:lang w:val="en-US" w:eastAsia="zh-CN"/>
        </w:rPr>
        <w:t>5</w:t>
      </w:r>
      <w:r>
        <w:rPr>
          <w:rFonts w:ascii="宋体" w:hAnsi="宋体" w:cs="宋体"/>
          <w:color w:val="C00000"/>
          <w:sz w:val="24"/>
        </w:rPr>
        <w:t>时00分前不准启封</w:t>
      </w:r>
      <w:r>
        <w:rPr>
          <w:rFonts w:ascii="宋体" w:hAnsi="宋体" w:cs="宋体"/>
          <w:sz w:val="24"/>
        </w:rPr>
        <w:t>”等，并在各封口骑缝加盖单位公章；</w:t>
      </w:r>
    </w:p>
    <w:p>
      <w:pPr>
        <w:spacing w:line="360" w:lineRule="auto"/>
        <w:ind w:firstLine="480"/>
        <w:rPr>
          <w:rFonts w:ascii="宋体" w:hAnsi="宋体" w:cs="宋体"/>
          <w:sz w:val="24"/>
        </w:rPr>
      </w:pPr>
      <w:r>
        <w:rPr>
          <w:rFonts w:ascii="宋体" w:hAnsi="宋体" w:cs="宋体"/>
          <w:sz w:val="24"/>
        </w:rPr>
        <w:t>2.未按规定密封或标记的投标文件将被拒绝，由此造成投标文件被误投或提前拆封的风险由投标人承担。</w:t>
      </w:r>
    </w:p>
    <w:p>
      <w:pPr>
        <w:spacing w:line="360" w:lineRule="auto"/>
        <w:ind w:firstLine="480"/>
        <w:rPr>
          <w:rFonts w:ascii="宋体" w:hAnsi="宋体" w:cs="宋体"/>
          <w:sz w:val="24"/>
        </w:rPr>
      </w:pPr>
      <w:r>
        <w:rPr>
          <w:rFonts w:ascii="宋体" w:hAnsi="宋体" w:cs="宋体"/>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pStyle w:val="2"/>
        <w:ind w:firstLine="480" w:firstLineChars="200"/>
        <w:rPr>
          <w:rFonts w:hint="default" w:eastAsia="宋体"/>
          <w:lang w:val="en-US" w:eastAsia="zh-CN"/>
        </w:rPr>
      </w:pPr>
      <w:r>
        <w:rPr>
          <w:rFonts w:hint="eastAsia" w:ascii="宋体" w:hAnsi="宋体" w:cs="宋体"/>
          <w:sz w:val="24"/>
          <w:lang w:val="en-US" w:eastAsia="zh-CN"/>
        </w:rPr>
        <w:t>4.样品单独密封，投标文件封密袋与样品密封袋放在同一个快递内邮寄。</w:t>
      </w:r>
    </w:p>
    <w:p>
      <w:pPr>
        <w:spacing w:line="360" w:lineRule="auto"/>
        <w:rPr>
          <w:rFonts w:ascii="宋体" w:hAnsi="宋体" w:cs="宋体"/>
          <w:b/>
          <w:sz w:val="24"/>
        </w:rPr>
      </w:pPr>
      <w:r>
        <w:rPr>
          <w:rFonts w:hint="eastAsia" w:ascii="宋体" w:hAnsi="宋体" w:cs="宋体"/>
          <w:b/>
          <w:sz w:val="24"/>
          <w:lang w:eastAsia="zh-CN"/>
        </w:rPr>
        <w:t>九、</w:t>
      </w:r>
      <w:r>
        <w:rPr>
          <w:rFonts w:ascii="宋体" w:hAnsi="宋体" w:cs="宋体"/>
          <w:b/>
          <w:sz w:val="24"/>
        </w:rPr>
        <w:t>投标无效的情形</w:t>
      </w:r>
    </w:p>
    <w:p>
      <w:pPr>
        <w:spacing w:line="360" w:lineRule="auto"/>
        <w:ind w:firstLine="480"/>
        <w:rPr>
          <w:rFonts w:ascii="宋体" w:hAnsi="宋体" w:cs="宋体"/>
          <w:bCs/>
          <w:sz w:val="24"/>
        </w:rPr>
      </w:pPr>
      <w:r>
        <w:rPr>
          <w:rFonts w:ascii="宋体" w:hAnsi="宋体" w:cs="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72"/>
        <w:rPr>
          <w:rFonts w:cs="宋体"/>
          <w:b/>
          <w:bCs/>
          <w:sz w:val="24"/>
        </w:rPr>
      </w:pPr>
      <w:r>
        <w:rPr>
          <w:rFonts w:cs="宋体"/>
          <w:b/>
          <w:bCs/>
          <w:sz w:val="24"/>
        </w:rPr>
        <w:t>1.在评审时，如发现下列情形之一的，投标文件将被视为无效：</w:t>
      </w:r>
    </w:p>
    <w:p>
      <w:pPr>
        <w:spacing w:line="360" w:lineRule="auto"/>
        <w:ind w:firstLine="480"/>
        <w:rPr>
          <w:rFonts w:cs="宋体"/>
          <w:bCs/>
          <w:sz w:val="24"/>
        </w:rPr>
      </w:pPr>
      <w:r>
        <w:rPr>
          <w:rFonts w:cs="宋体"/>
          <w:bCs/>
          <w:sz w:val="24"/>
        </w:rPr>
        <w:t>（1）未进行报名登记的；</w:t>
      </w:r>
    </w:p>
    <w:p>
      <w:pPr>
        <w:spacing w:line="360" w:lineRule="auto"/>
        <w:ind w:firstLine="480"/>
        <w:rPr>
          <w:rFonts w:cs="宋体"/>
          <w:bCs/>
          <w:sz w:val="24"/>
        </w:rPr>
      </w:pPr>
      <w:r>
        <w:rPr>
          <w:rFonts w:cs="宋体"/>
          <w:bCs/>
          <w:sz w:val="24"/>
        </w:rPr>
        <w:t>（2）投标文件未按招标文件要求密封、包装的；</w:t>
      </w:r>
    </w:p>
    <w:p>
      <w:pPr>
        <w:spacing w:line="360" w:lineRule="auto"/>
        <w:ind w:firstLine="480"/>
        <w:rPr>
          <w:rFonts w:cs="宋体"/>
          <w:bCs/>
          <w:sz w:val="24"/>
        </w:rPr>
      </w:pPr>
      <w:r>
        <w:rPr>
          <w:rFonts w:cs="宋体"/>
          <w:bCs/>
          <w:sz w:val="24"/>
        </w:rPr>
        <w:t>（3）社保不能提供真实性查询证明的；</w:t>
      </w:r>
    </w:p>
    <w:p>
      <w:pPr>
        <w:spacing w:line="360" w:lineRule="auto"/>
        <w:ind w:firstLine="480"/>
        <w:rPr>
          <w:rFonts w:cs="宋体"/>
          <w:bCs/>
          <w:sz w:val="24"/>
        </w:rPr>
      </w:pPr>
      <w:r>
        <w:rPr>
          <w:rFonts w:cs="宋体"/>
          <w:bCs/>
          <w:sz w:val="24"/>
        </w:rPr>
        <w:t>（4）投标文件无法定代表人签字、或未提供法定代表人授权委托书、投标声明书或者填写项目不齐全的；</w:t>
      </w:r>
    </w:p>
    <w:p>
      <w:pPr>
        <w:spacing w:line="360" w:lineRule="auto"/>
        <w:ind w:firstLine="480"/>
        <w:rPr>
          <w:rFonts w:cs="宋体"/>
          <w:bCs/>
          <w:sz w:val="24"/>
        </w:rPr>
      </w:pPr>
      <w:r>
        <w:rPr>
          <w:rFonts w:cs="宋体"/>
          <w:bCs/>
          <w:sz w:val="24"/>
        </w:rPr>
        <w:t>（5）投标文件格式未按招标文件规定格式的、未按招标文件规定的内容编制投标文件的或者内容虚假的、未按规定签字或盖章的；</w:t>
      </w:r>
    </w:p>
    <w:p>
      <w:pPr>
        <w:spacing w:line="360" w:lineRule="auto"/>
        <w:ind w:firstLine="480"/>
        <w:rPr>
          <w:rFonts w:cs="宋体"/>
          <w:bCs/>
          <w:sz w:val="24"/>
        </w:rPr>
      </w:pPr>
      <w:r>
        <w:rPr>
          <w:rFonts w:cs="宋体"/>
          <w:bCs/>
          <w:sz w:val="24"/>
        </w:rPr>
        <w:t>（6）投标文件的实质性内容未使用中文表述的或意思表述不明确、前后矛盾的或者使用计量单位不符合招标文件要求的（经评标委员会认定并允许其当场更正的笔误除外）</w:t>
      </w:r>
    </w:p>
    <w:p>
      <w:pPr>
        <w:spacing w:line="360" w:lineRule="auto"/>
        <w:ind w:firstLine="480"/>
        <w:rPr>
          <w:rFonts w:cs="宋体"/>
          <w:bCs/>
          <w:sz w:val="24"/>
        </w:rPr>
      </w:pPr>
      <w:r>
        <w:rPr>
          <w:rFonts w:cs="宋体"/>
          <w:bCs/>
          <w:sz w:val="24"/>
        </w:rPr>
        <w:t>（7）投标有效期、交货时间、质保期等商务条款不能满足招标文件要求的；</w:t>
      </w:r>
    </w:p>
    <w:p>
      <w:pPr>
        <w:spacing w:line="360" w:lineRule="auto"/>
        <w:ind w:firstLine="480"/>
        <w:rPr>
          <w:rFonts w:cs="宋体"/>
          <w:bCs/>
          <w:sz w:val="24"/>
        </w:rPr>
      </w:pPr>
      <w:r>
        <w:rPr>
          <w:rFonts w:cs="宋体"/>
          <w:bCs/>
          <w:sz w:val="24"/>
        </w:rPr>
        <w:t>（8）未实质性响应招标文件要求或者投标文件有招标方不能接受的附加条件的；</w:t>
      </w:r>
    </w:p>
    <w:p>
      <w:pPr>
        <w:spacing w:line="360" w:lineRule="auto"/>
        <w:ind w:firstLine="480"/>
        <w:rPr>
          <w:rFonts w:cs="宋体"/>
          <w:bCs/>
          <w:sz w:val="24"/>
        </w:rPr>
      </w:pPr>
      <w:r>
        <w:rPr>
          <w:rFonts w:cs="宋体"/>
          <w:bCs/>
          <w:sz w:val="24"/>
        </w:rPr>
        <w:t>（9）投标文件标明的响应或偏离与事实不符的或虚假投标的；</w:t>
      </w:r>
    </w:p>
    <w:p>
      <w:pPr>
        <w:spacing w:line="360" w:lineRule="auto"/>
        <w:ind w:firstLine="480"/>
        <w:rPr>
          <w:rFonts w:cs="宋体"/>
          <w:bCs/>
          <w:sz w:val="24"/>
        </w:rPr>
      </w:pPr>
      <w:r>
        <w:rPr>
          <w:rFonts w:cs="宋体"/>
          <w:bCs/>
          <w:sz w:val="24"/>
        </w:rPr>
        <w:t>（10）明显不符合招标文件质量标准的，或者与招标文件中标有“*</w:t>
      </w:r>
      <w:r>
        <w:rPr>
          <w:rFonts w:ascii="宋体" w:hAnsi="宋体" w:cs="宋体"/>
          <w:bCs/>
          <w:sz w:val="24"/>
        </w:rPr>
        <w:t>”</w:t>
      </w:r>
      <w:r>
        <w:rPr>
          <w:rFonts w:cs="宋体"/>
          <w:bCs/>
          <w:sz w:val="24"/>
        </w:rPr>
        <w:t>、“▲”、“※”、“★”的技术指标、主要功能项目发生实质性偏离的；</w:t>
      </w:r>
    </w:p>
    <w:p>
      <w:pPr>
        <w:spacing w:line="360" w:lineRule="auto"/>
        <w:ind w:firstLine="480"/>
        <w:rPr>
          <w:rFonts w:cs="宋体"/>
          <w:bCs/>
          <w:sz w:val="24"/>
        </w:rPr>
      </w:pPr>
      <w:r>
        <w:rPr>
          <w:rFonts w:cs="宋体"/>
          <w:bCs/>
          <w:sz w:val="24"/>
        </w:rPr>
        <w:t>（11）招标文件中允许偏离的技术、性能指标或者辅助功能发生较大负偏离的，经评标委员会认定对项目实际使用造成影响的；</w:t>
      </w:r>
    </w:p>
    <w:p>
      <w:pPr>
        <w:spacing w:line="360" w:lineRule="auto"/>
        <w:ind w:firstLine="480"/>
        <w:rPr>
          <w:rFonts w:cs="宋体"/>
          <w:bCs/>
          <w:sz w:val="24"/>
        </w:rPr>
      </w:pPr>
      <w:r>
        <w:rPr>
          <w:rFonts w:cs="宋体"/>
          <w:bCs/>
          <w:sz w:val="24"/>
        </w:rPr>
        <w:t>（12）投标技术方案不明确，存在一个或一个以上备选（替代）投标方案的；</w:t>
      </w:r>
    </w:p>
    <w:p>
      <w:pPr>
        <w:spacing w:line="360" w:lineRule="auto"/>
        <w:ind w:firstLine="480"/>
        <w:rPr>
          <w:rFonts w:cs="宋体"/>
          <w:bCs/>
          <w:sz w:val="24"/>
        </w:rPr>
      </w:pPr>
      <w:r>
        <w:rPr>
          <w:rFonts w:cs="宋体"/>
          <w:bCs/>
          <w:sz w:val="24"/>
        </w:rPr>
        <w:t>（13）与其他参加本次投标供应商的投标文件的文字表述内容相同连续20行以上或者差错相同2处以上的；</w:t>
      </w:r>
    </w:p>
    <w:p>
      <w:pPr>
        <w:spacing w:line="360" w:lineRule="auto"/>
        <w:ind w:firstLine="360"/>
        <w:rPr>
          <w:rFonts w:cs="宋体"/>
          <w:bCs/>
          <w:sz w:val="24"/>
        </w:rPr>
      </w:pPr>
      <w:r>
        <w:rPr>
          <w:rFonts w:cs="宋体"/>
          <w:bCs/>
          <w:sz w:val="24"/>
        </w:rPr>
        <w:t>（14）未采用人民币报价或者未按照招标文件标明的币种报价的；</w:t>
      </w:r>
    </w:p>
    <w:p>
      <w:pPr>
        <w:spacing w:line="360" w:lineRule="auto"/>
        <w:ind w:firstLine="360"/>
        <w:rPr>
          <w:rFonts w:cs="宋体"/>
          <w:bCs/>
          <w:sz w:val="24"/>
        </w:rPr>
      </w:pPr>
      <w:r>
        <w:rPr>
          <w:rFonts w:cs="宋体"/>
          <w:bCs/>
          <w:sz w:val="24"/>
        </w:rPr>
        <w:t>（15）投标报价具有选择性的，或者开标价格与投标文件承诺的优惠（折扣）价格不一致的。</w:t>
      </w:r>
    </w:p>
    <w:p>
      <w:pPr>
        <w:spacing w:line="360" w:lineRule="auto"/>
        <w:ind w:firstLine="360"/>
        <w:rPr>
          <w:rFonts w:cs="宋体"/>
          <w:bCs/>
          <w:sz w:val="24"/>
        </w:rPr>
      </w:pPr>
      <w:r>
        <w:rPr>
          <w:rFonts w:cs="宋体"/>
          <w:bCs/>
          <w:sz w:val="24"/>
        </w:rPr>
        <w:t>（16）报价超出用户设定的最高限价的。</w:t>
      </w:r>
    </w:p>
    <w:p>
      <w:pPr>
        <w:spacing w:line="360" w:lineRule="auto"/>
        <w:ind w:firstLine="480"/>
        <w:rPr>
          <w:rFonts w:cs="宋体"/>
          <w:bCs/>
          <w:sz w:val="24"/>
        </w:rPr>
      </w:pPr>
      <w:r>
        <w:rPr>
          <w:rFonts w:cs="宋体"/>
          <w:bCs/>
          <w:sz w:val="24"/>
        </w:rPr>
        <w:t>（17）法律、法规规定的其它投标无效情况。</w:t>
      </w:r>
    </w:p>
    <w:p>
      <w:pPr>
        <w:spacing w:line="360" w:lineRule="auto"/>
        <w:ind w:firstLine="480"/>
        <w:rPr>
          <w:rFonts w:cs="宋体"/>
          <w:bCs/>
          <w:sz w:val="24"/>
        </w:rPr>
      </w:pPr>
      <w:r>
        <w:rPr>
          <w:rFonts w:cs="宋体"/>
          <w:bCs/>
          <w:sz w:val="24"/>
        </w:rPr>
        <w:t>2.被拒绝的投标文件为无效。</w:t>
      </w:r>
    </w:p>
    <w:p>
      <w:pPr>
        <w:spacing w:line="440" w:lineRule="exact"/>
        <w:ind w:firstLine="480" w:firstLineChars="200"/>
        <w:rPr>
          <w:rFonts w:hint="eastAsia" w:ascii="宋体" w:hAnsi="宋体"/>
          <w:b/>
          <w:sz w:val="24"/>
        </w:rPr>
      </w:pPr>
      <w:r>
        <w:rPr>
          <w:rFonts w:cs="宋体"/>
          <w:bCs/>
          <w:sz w:val="24"/>
        </w:rPr>
        <w:t>3.根据有关法律、法规规定为无效、废标的，按法律、法规规定执行。</w:t>
      </w:r>
    </w:p>
    <w:p>
      <w:pPr>
        <w:pStyle w:val="12"/>
        <w:keepNext w:val="0"/>
        <w:keepLines w:val="0"/>
        <w:pageBreakBefore w:val="0"/>
        <w:widowControl w:val="0"/>
        <w:kinsoku/>
        <w:wordWrap/>
        <w:overflowPunct/>
        <w:topLinePunct w:val="0"/>
        <w:autoSpaceDE/>
        <w:autoSpaceDN/>
        <w:bidi w:val="0"/>
        <w:adjustRightInd/>
        <w:snapToGrid w:val="0"/>
        <w:spacing w:beforeLines="0" w:afterLines="0" w:line="440" w:lineRule="exact"/>
        <w:textAlignment w:val="auto"/>
        <w:rPr>
          <w:rFonts w:hint="eastAsia" w:hAnsi="宋体"/>
          <w:bCs/>
          <w:color w:val="auto"/>
          <w:highlight w:val="none"/>
        </w:rPr>
      </w:pPr>
      <w:r>
        <w:rPr>
          <w:rFonts w:hint="eastAsia" w:hAnsi="宋体"/>
          <w:b/>
          <w:bCs w:val="0"/>
          <w:color w:val="auto"/>
          <w:highlight w:val="none"/>
          <w:lang w:eastAsia="zh-CN"/>
        </w:rPr>
        <w:t>十、</w:t>
      </w:r>
      <w:r>
        <w:rPr>
          <w:rFonts w:hint="eastAsia" w:hAnsi="宋体"/>
          <w:b/>
          <w:bCs w:val="0"/>
          <w:color w:val="auto"/>
          <w:highlight w:val="none"/>
        </w:rPr>
        <w:t>特殊情况处理</w:t>
      </w:r>
    </w:p>
    <w:p>
      <w:pPr>
        <w:pStyle w:val="3"/>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投标文件评审期间采购响应（指投标或谈判、报价，下同），出现有效供应商不足3家的，经</w:t>
      </w:r>
      <w:r>
        <w:rPr>
          <w:rFonts w:hint="eastAsia" w:ascii="宋体" w:hAnsi="宋体" w:cs="宋体"/>
          <w:kern w:val="0"/>
          <w:sz w:val="24"/>
          <w:szCs w:val="20"/>
          <w:lang w:val="en-US" w:eastAsia="zh-CN" w:bidi="ar-SA"/>
        </w:rPr>
        <w:t>学校</w:t>
      </w:r>
      <w:r>
        <w:rPr>
          <w:rFonts w:hint="eastAsia" w:ascii="宋体" w:hAnsi="宋体" w:eastAsia="宋体" w:cs="宋体"/>
          <w:kern w:val="0"/>
          <w:sz w:val="24"/>
          <w:szCs w:val="20"/>
          <w:lang w:val="en-US" w:eastAsia="zh-CN" w:bidi="ar-SA"/>
        </w:rPr>
        <w:t>同意，可以按原采购方式继续进行采购活动</w:t>
      </w:r>
      <w:r>
        <w:rPr>
          <w:rFonts w:hint="eastAsia" w:ascii="宋体" w:hAnsi="宋体" w:cs="宋体"/>
          <w:kern w:val="0"/>
          <w:sz w:val="24"/>
          <w:szCs w:val="20"/>
          <w:lang w:val="en-US" w:eastAsia="zh-CN" w:bidi="ar-SA"/>
        </w:rPr>
        <w:t>；</w:t>
      </w:r>
      <w:r>
        <w:rPr>
          <w:rFonts w:hint="eastAsia" w:ascii="宋体" w:hAnsi="宋体" w:eastAsia="宋体" w:cs="宋体"/>
          <w:kern w:val="0"/>
          <w:sz w:val="24"/>
          <w:szCs w:val="20"/>
          <w:lang w:val="en-US" w:eastAsia="zh-CN" w:bidi="ar-SA"/>
        </w:rPr>
        <w:t>出现有效供应商</w:t>
      </w:r>
      <w:r>
        <w:rPr>
          <w:rFonts w:hint="eastAsia" w:ascii="宋体" w:hAnsi="宋体" w:cs="宋体"/>
          <w:kern w:val="0"/>
          <w:sz w:val="24"/>
          <w:szCs w:val="20"/>
          <w:lang w:val="en-US" w:eastAsia="zh-CN" w:bidi="ar-SA"/>
        </w:rPr>
        <w:t>只有1</w:t>
      </w:r>
      <w:r>
        <w:rPr>
          <w:rFonts w:hint="eastAsia" w:ascii="宋体" w:hAnsi="宋体" w:eastAsia="宋体" w:cs="宋体"/>
          <w:kern w:val="0"/>
          <w:sz w:val="24"/>
          <w:szCs w:val="20"/>
          <w:lang w:val="en-US" w:eastAsia="zh-CN" w:bidi="ar-SA"/>
        </w:rPr>
        <w:t>家的</w:t>
      </w:r>
      <w:r>
        <w:rPr>
          <w:rFonts w:hint="eastAsia" w:ascii="宋体" w:hAnsi="宋体" w:cs="宋体"/>
          <w:kern w:val="0"/>
          <w:sz w:val="24"/>
          <w:szCs w:val="20"/>
          <w:lang w:val="en-US" w:eastAsia="zh-CN" w:bidi="ar-SA"/>
        </w:rPr>
        <w:t>更改为单一来源采购；</w:t>
      </w:r>
      <w:r>
        <w:rPr>
          <w:rFonts w:hint="eastAsia" w:ascii="宋体" w:hAnsi="宋体" w:eastAsia="宋体" w:cs="宋体"/>
          <w:kern w:val="0"/>
          <w:sz w:val="24"/>
          <w:szCs w:val="20"/>
          <w:lang w:val="en-US" w:eastAsia="zh-CN" w:bidi="ar-SA"/>
        </w:rPr>
        <w:t>更改采购方式时，原评标委员会所有成员，单一来源采购的谈判小组成员。</w:t>
      </w:r>
    </w:p>
    <w:p>
      <w:pPr>
        <w:pStyle w:val="44"/>
        <w:snapToGrid w:val="0"/>
        <w:spacing w:line="360" w:lineRule="auto"/>
        <w:ind w:firstLine="480"/>
        <w:rPr>
          <w:rFonts w:cs="宋体"/>
          <w:bCs/>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keepNext w:val="0"/>
        <w:keepLines w:val="0"/>
        <w:pageBreakBefore/>
        <w:spacing w:line="415" w:lineRule="auto"/>
        <w:jc w:val="center"/>
        <w:rPr>
          <w:rFonts w:ascii="宋体" w:hAnsi="宋体" w:cs="宋体"/>
          <w:sz w:val="32"/>
          <w:szCs w:val="32"/>
        </w:rPr>
      </w:pPr>
      <w:bookmarkStart w:id="7" w:name="_Toc31127"/>
      <w:bookmarkStart w:id="8" w:name="_Toc29622"/>
      <w:r>
        <w:rPr>
          <w:rFonts w:hint="eastAsia" w:ascii="宋体" w:hAnsi="宋体" w:cs="宋体"/>
          <w:sz w:val="32"/>
          <w:szCs w:val="32"/>
        </w:rPr>
        <w:t>第五章 谈判方法和程序</w:t>
      </w:r>
      <w:bookmarkEnd w:id="7"/>
      <w:bookmarkEnd w:id="8"/>
    </w:p>
    <w:p>
      <w:pPr>
        <w:spacing w:line="360" w:lineRule="auto"/>
        <w:rPr>
          <w:rFonts w:ascii="宋体" w:hAnsi="宋体" w:cs="宋体"/>
          <w:b/>
          <w:sz w:val="24"/>
        </w:rPr>
      </w:pPr>
      <w:r>
        <w:rPr>
          <w:rFonts w:hint="eastAsia" w:ascii="宋体" w:hAnsi="宋体" w:cs="宋体"/>
          <w:b/>
          <w:sz w:val="24"/>
        </w:rPr>
        <w:t>一</w:t>
      </w:r>
      <w:r>
        <w:rPr>
          <w:rFonts w:hint="eastAsia" w:ascii="宋体" w:hAnsi="宋体" w:cs="宋体"/>
          <w:sz w:val="24"/>
        </w:rPr>
        <w:t>、</w:t>
      </w:r>
      <w:r>
        <w:rPr>
          <w:rFonts w:hint="eastAsia" w:ascii="宋体" w:hAnsi="宋体" w:cs="宋体"/>
          <w:b/>
          <w:sz w:val="24"/>
        </w:rPr>
        <w:t>开标准备</w:t>
      </w:r>
    </w:p>
    <w:p>
      <w:pPr>
        <w:spacing w:line="360" w:lineRule="auto"/>
        <w:ind w:firstLine="480" w:firstLineChars="200"/>
        <w:rPr>
          <w:rFonts w:ascii="宋体" w:hAnsi="宋体" w:cs="宋体"/>
          <w:bCs/>
          <w:strike/>
          <w:sz w:val="24"/>
        </w:rPr>
      </w:pPr>
      <w:r>
        <w:rPr>
          <w:rFonts w:hint="eastAsia" w:ascii="宋体" w:hAnsi="宋体" w:cs="宋体"/>
          <w:bCs/>
          <w:sz w:val="24"/>
        </w:rPr>
        <w:t>将在规定的时间和地点进行电子开标，谈判响应方的法定代表人或其委托代理人【委托代理人应当是谈判响应方的在职正式职工】应做好谈判响应准备，准时在线参加电子开标会议，随时关注开标进度。</w:t>
      </w:r>
    </w:p>
    <w:p>
      <w:pPr>
        <w:spacing w:line="360" w:lineRule="auto"/>
        <w:rPr>
          <w:rFonts w:ascii="宋体" w:hAnsi="宋体" w:cs="宋体"/>
          <w:b/>
          <w:sz w:val="24"/>
        </w:rPr>
      </w:pPr>
      <w:r>
        <w:rPr>
          <w:rFonts w:hint="eastAsia" w:ascii="宋体" w:hAnsi="宋体" w:cs="宋体"/>
          <w:b/>
          <w:sz w:val="24"/>
        </w:rPr>
        <w:t>二、谈判小组</w:t>
      </w:r>
    </w:p>
    <w:p>
      <w:pPr>
        <w:spacing w:line="360" w:lineRule="auto"/>
        <w:ind w:firstLine="480" w:firstLineChars="200"/>
        <w:rPr>
          <w:rFonts w:ascii="宋体" w:hAnsi="宋体" w:cs="宋体"/>
          <w:sz w:val="24"/>
        </w:rPr>
      </w:pPr>
      <w:r>
        <w:rPr>
          <w:rFonts w:hint="eastAsia" w:ascii="宋体" w:hAnsi="宋体" w:cs="宋体"/>
          <w:sz w:val="24"/>
        </w:rPr>
        <w:t>我校将根据谈判项目的特点依法组建谈判小组，人员由学校评审专家</w:t>
      </w:r>
      <w:r>
        <w:rPr>
          <w:rFonts w:ascii="宋体" w:hAnsi="宋体" w:cs="宋体"/>
          <w:sz w:val="24"/>
          <w:u w:val="single"/>
        </w:rPr>
        <w:t>2</w:t>
      </w:r>
      <w:r>
        <w:rPr>
          <w:rFonts w:hint="eastAsia" w:ascii="宋体" w:hAnsi="宋体" w:cs="宋体"/>
          <w:sz w:val="24"/>
        </w:rPr>
        <w:t>人和采购部门代表</w:t>
      </w:r>
      <w:r>
        <w:rPr>
          <w:rFonts w:hint="eastAsia" w:ascii="宋体" w:hAnsi="宋体" w:cs="宋体"/>
          <w:sz w:val="24"/>
          <w:u w:val="single"/>
        </w:rPr>
        <w:t>1</w:t>
      </w:r>
      <w:r>
        <w:rPr>
          <w:rFonts w:hint="eastAsia" w:ascii="宋体" w:hAnsi="宋体" w:cs="宋体"/>
          <w:sz w:val="24"/>
        </w:rPr>
        <w:t>人,共</w:t>
      </w:r>
      <w:r>
        <w:rPr>
          <w:rFonts w:ascii="宋体" w:hAnsi="宋体" w:cs="宋体"/>
          <w:sz w:val="24"/>
          <w:u w:val="single"/>
        </w:rPr>
        <w:t>3</w:t>
      </w:r>
      <w:r>
        <w:rPr>
          <w:rFonts w:hint="eastAsia" w:ascii="宋体" w:hAnsi="宋体" w:cs="宋体"/>
          <w:sz w:val="24"/>
        </w:rPr>
        <w:t>人组成（允许采购人不推荐采购人代表参加，如采购人不推荐采购人代表参加评审时，谈判小组（</w:t>
      </w:r>
      <w:r>
        <w:rPr>
          <w:rFonts w:ascii="宋体" w:hAnsi="宋体" w:cs="宋体"/>
          <w:sz w:val="24"/>
        </w:rPr>
        <w:t>3</w:t>
      </w:r>
      <w:r>
        <w:rPr>
          <w:rFonts w:hint="eastAsia" w:ascii="宋体" w:hAnsi="宋体" w:cs="宋体"/>
          <w:sz w:val="24"/>
        </w:rPr>
        <w:t>人）都从评标专家库中抽取），其成员从采购人和政采购评审的具有技术、商务等方面专长的专家库中通过随机方式抽取组成谈判小组,将对谈判响应文件进行审查、质疑、评估和比较。</w:t>
      </w:r>
    </w:p>
    <w:p>
      <w:pPr>
        <w:spacing w:line="360" w:lineRule="auto"/>
        <w:rPr>
          <w:rFonts w:ascii="宋体" w:hAnsi="宋体" w:cs="宋体"/>
          <w:b/>
          <w:sz w:val="24"/>
        </w:rPr>
      </w:pPr>
      <w:r>
        <w:rPr>
          <w:rFonts w:hint="eastAsia" w:ascii="宋体" w:hAnsi="宋体" w:cs="宋体"/>
          <w:b/>
          <w:sz w:val="24"/>
        </w:rPr>
        <w:t>三、谈判评审原则与方法</w:t>
      </w:r>
    </w:p>
    <w:p>
      <w:pPr>
        <w:spacing w:line="360" w:lineRule="auto"/>
        <w:ind w:firstLine="480" w:firstLineChars="200"/>
        <w:rPr>
          <w:rFonts w:ascii="宋体" w:hAnsi="宋体"/>
          <w:sz w:val="24"/>
        </w:rPr>
      </w:pPr>
      <w:r>
        <w:rPr>
          <w:rFonts w:hint="eastAsia" w:ascii="宋体" w:hAnsi="宋体"/>
          <w:sz w:val="24"/>
        </w:rPr>
        <w:t>1、依照《中华人民共和国政府采购法》、《中华人民共和国政府采购法实施条例》、《政府采购货物和服务招投标管理办法》、《政府采购非招标采购方式管理办法》（财政部第74号令）、《浙江省财政厅关于印发浙江省政府采购项目电子交易管理暂行办法的通知》以及政府采购的特殊性确定谈判方法，并遵循公开、公平、公正的原则，谈判小组对谈判响应方提供的技术性能、售后服务、资信情况、履约能力等进行综合分析考评。</w:t>
      </w:r>
    </w:p>
    <w:p>
      <w:pPr>
        <w:spacing w:line="360" w:lineRule="auto"/>
        <w:rPr>
          <w:rFonts w:ascii="宋体" w:hAnsi="宋体"/>
          <w:sz w:val="24"/>
        </w:rPr>
      </w:pPr>
      <w:r>
        <w:rPr>
          <w:rFonts w:hint="eastAsia" w:ascii="宋体" w:hAnsi="宋体"/>
          <w:sz w:val="24"/>
        </w:rPr>
        <w:t xml:space="preserve">    2、客观公正的对待所有谈判响应方，对所有谈判评价，均采用相同的程序和标准。在谈判期间，谈判响应方不得向谈判小组成员询问谈判情况，不得进行旨在影响谈判结果的活动。否则将废除其参加谈判资格。</w:t>
      </w:r>
    </w:p>
    <w:p>
      <w:pPr>
        <w:spacing w:line="360" w:lineRule="auto"/>
        <w:ind w:firstLine="480" w:firstLineChars="200"/>
        <w:rPr>
          <w:rFonts w:ascii="宋体" w:hAnsi="宋体"/>
          <w:sz w:val="24"/>
        </w:rPr>
      </w:pPr>
      <w:r>
        <w:rPr>
          <w:rFonts w:hint="eastAsia" w:ascii="宋体" w:hAnsi="宋体"/>
          <w:sz w:val="24"/>
        </w:rPr>
        <w:t>3、在谈判过程中，谈判小组成员不得与谈判响应方私下交换意见，在谈判工作结束后，凡与谈判情况有接触的任何人不得将谈判情况扩散出谈判小组成员之外。</w:t>
      </w:r>
    </w:p>
    <w:p>
      <w:pPr>
        <w:spacing w:line="360" w:lineRule="auto"/>
        <w:ind w:firstLine="480" w:firstLineChars="200"/>
        <w:rPr>
          <w:rFonts w:ascii="宋体" w:hAnsi="宋体"/>
          <w:sz w:val="24"/>
        </w:rPr>
      </w:pPr>
      <w:r>
        <w:rPr>
          <w:rFonts w:hint="eastAsia" w:ascii="宋体" w:hAnsi="宋体"/>
          <w:sz w:val="24"/>
        </w:rPr>
        <w:t>4、谈判小组不向落标方解释落标原因，不退还谈判响应文件。</w:t>
      </w:r>
    </w:p>
    <w:p>
      <w:pPr>
        <w:spacing w:line="360" w:lineRule="auto"/>
        <w:ind w:firstLine="480" w:firstLineChars="200"/>
        <w:rPr>
          <w:rFonts w:ascii="宋体" w:hAnsi="宋体"/>
          <w:sz w:val="24"/>
        </w:rPr>
      </w:pPr>
      <w:r>
        <w:rPr>
          <w:rFonts w:hint="eastAsia" w:ascii="宋体" w:hAnsi="宋体"/>
          <w:sz w:val="24"/>
        </w:rPr>
        <w:t>5、审查谈判响应文件时，</w:t>
      </w:r>
      <w:r>
        <w:rPr>
          <w:rFonts w:hint="eastAsia" w:ascii="宋体" w:hAnsi="宋体"/>
          <w:sz w:val="24"/>
          <w:lang w:eastAsia="zh-CN"/>
        </w:rPr>
        <w:t>投标文件</w:t>
      </w:r>
      <w:r>
        <w:rPr>
          <w:rFonts w:hint="eastAsia" w:ascii="宋体" w:hAnsi="宋体"/>
          <w:sz w:val="24"/>
        </w:rPr>
        <w:t>未做出实质性响应处理，作无效标处理；</w:t>
      </w:r>
    </w:p>
    <w:p>
      <w:pPr>
        <w:spacing w:line="360" w:lineRule="auto"/>
        <w:ind w:firstLine="480" w:firstLineChars="200"/>
        <w:rPr>
          <w:rFonts w:ascii="宋体" w:hAnsi="宋体"/>
          <w:b/>
          <w:i/>
          <w:sz w:val="24"/>
        </w:rPr>
      </w:pPr>
      <w:r>
        <w:rPr>
          <w:rFonts w:hint="eastAsia" w:ascii="宋体" w:hAnsi="宋体"/>
          <w:sz w:val="24"/>
        </w:rPr>
        <w:t>6、本次谈判经谈判小组审核后，</w:t>
      </w:r>
      <w:r>
        <w:rPr>
          <w:rFonts w:hint="eastAsia" w:ascii="宋体" w:hAnsi="宋体"/>
          <w:sz w:val="24"/>
          <w:lang w:eastAsia="zh-CN"/>
        </w:rPr>
        <w:t>投标文件</w:t>
      </w:r>
      <w:r>
        <w:rPr>
          <w:rFonts w:hint="eastAsia" w:ascii="宋体" w:hAnsi="宋体"/>
          <w:sz w:val="24"/>
        </w:rPr>
        <w:t>实质性响应的响应方进入谈判</w:t>
      </w:r>
      <w:r>
        <w:rPr>
          <w:rFonts w:hint="eastAsia" w:ascii="宋体" w:hAnsi="宋体"/>
          <w:bCs/>
          <w:sz w:val="24"/>
        </w:rPr>
        <w:t>程序，进行报价部分的谈判。</w:t>
      </w:r>
    </w:p>
    <w:p>
      <w:pPr>
        <w:spacing w:line="360" w:lineRule="auto"/>
        <w:ind w:firstLine="482" w:firstLineChars="200"/>
        <w:rPr>
          <w:rFonts w:ascii="宋体" w:hAnsi="宋体"/>
          <w:b/>
          <w:bCs/>
          <w:sz w:val="24"/>
        </w:rPr>
      </w:pPr>
      <w:r>
        <w:rPr>
          <w:rFonts w:hint="eastAsia" w:ascii="宋体" w:hAnsi="宋体"/>
          <w:b/>
          <w:bCs/>
          <w:sz w:val="24"/>
        </w:rPr>
        <w:t>7、进行谈判，最后一次报价时所有谈判响应方同时提供最终报价，评判价格以最后一次有效报价为准</w:t>
      </w:r>
      <w:r>
        <w:rPr>
          <w:rFonts w:ascii="宋体" w:hAnsi="宋体"/>
          <w:b/>
          <w:bCs/>
          <w:sz w:val="24"/>
        </w:rPr>
        <w:t>，</w:t>
      </w:r>
      <w:r>
        <w:rPr>
          <w:rFonts w:hint="eastAsia" w:ascii="宋体" w:hAnsi="宋体"/>
          <w:b/>
          <w:bCs/>
          <w:sz w:val="24"/>
        </w:rPr>
        <w:t>报价</w:t>
      </w:r>
      <w:r>
        <w:rPr>
          <w:rFonts w:ascii="宋体" w:hAnsi="宋体"/>
          <w:b/>
          <w:bCs/>
          <w:sz w:val="24"/>
        </w:rPr>
        <w:t>不少于</w:t>
      </w:r>
      <w:r>
        <w:rPr>
          <w:rFonts w:hint="eastAsia" w:ascii="宋体" w:hAnsi="宋体"/>
          <w:b/>
          <w:bCs/>
          <w:sz w:val="24"/>
        </w:rPr>
        <w:t>两轮。</w:t>
      </w:r>
    </w:p>
    <w:p>
      <w:pPr>
        <w:spacing w:line="360" w:lineRule="auto"/>
        <w:ind w:firstLine="480" w:firstLineChars="200"/>
        <w:rPr>
          <w:rFonts w:ascii="宋体" w:hAnsi="宋体" w:cs="宋体"/>
          <w:b/>
          <w:sz w:val="24"/>
        </w:rPr>
      </w:pPr>
      <w:r>
        <w:rPr>
          <w:rFonts w:hint="eastAsia" w:ascii="宋体" w:hAnsi="宋体"/>
          <w:bCs/>
          <w:sz w:val="24"/>
        </w:rPr>
        <w:t>8、谈判小组根据谈判响应方的最终有效报价，确定最低有效报价者为中标候选单位。</w:t>
      </w:r>
    </w:p>
    <w:p>
      <w:pPr>
        <w:numPr>
          <w:ilvl w:val="0"/>
          <w:numId w:val="5"/>
        </w:numPr>
        <w:spacing w:line="360" w:lineRule="auto"/>
        <w:rPr>
          <w:rFonts w:ascii="宋体" w:hAnsi="宋体" w:cs="宋体"/>
          <w:b/>
          <w:sz w:val="24"/>
        </w:rPr>
      </w:pPr>
      <w:r>
        <w:rPr>
          <w:rFonts w:hint="eastAsia" w:ascii="宋体" w:hAnsi="宋体" w:cs="宋体"/>
          <w:b/>
          <w:sz w:val="24"/>
        </w:rPr>
        <w:t>谈判程序</w:t>
      </w:r>
    </w:p>
    <w:p>
      <w:pPr>
        <w:spacing w:line="360" w:lineRule="auto"/>
        <w:ind w:firstLine="480" w:firstLineChars="200"/>
        <w:rPr>
          <w:rFonts w:ascii="宋体" w:hAnsi="宋体" w:cs="宋体"/>
          <w:bCs/>
          <w:sz w:val="24"/>
        </w:rPr>
      </w:pPr>
      <w:r>
        <w:rPr>
          <w:rFonts w:hint="eastAsia" w:ascii="宋体" w:hAnsi="宋体" w:cs="宋体"/>
          <w:bCs/>
          <w:sz w:val="24"/>
        </w:rPr>
        <w:t>1.开标会由</w:t>
      </w:r>
      <w:r>
        <w:rPr>
          <w:rFonts w:hint="eastAsia" w:ascii="宋体" w:hAnsi="宋体" w:cs="宋体"/>
          <w:sz w:val="24"/>
        </w:rPr>
        <w:t>采购人</w:t>
      </w:r>
      <w:r>
        <w:rPr>
          <w:rFonts w:hint="eastAsia" w:ascii="宋体" w:hAnsi="宋体" w:cs="宋体"/>
          <w:bCs/>
          <w:sz w:val="24"/>
        </w:rPr>
        <w:t>主持，主持人宣布谈判开始；</w:t>
      </w:r>
    </w:p>
    <w:p>
      <w:pPr>
        <w:spacing w:line="360" w:lineRule="auto"/>
        <w:ind w:firstLine="480" w:firstLineChars="200"/>
        <w:rPr>
          <w:rFonts w:ascii="宋体" w:hAnsi="宋体" w:cs="宋体"/>
          <w:bCs/>
          <w:sz w:val="24"/>
        </w:rPr>
      </w:pPr>
      <w:r>
        <w:rPr>
          <w:rFonts w:hint="eastAsia" w:ascii="宋体" w:hAnsi="宋体" w:cs="宋体"/>
          <w:bCs/>
          <w:sz w:val="24"/>
        </w:rPr>
        <w:t xml:space="preserve">2.主持人介绍参加开评标的人员名单； </w:t>
      </w:r>
    </w:p>
    <w:p>
      <w:pPr>
        <w:spacing w:line="360" w:lineRule="auto"/>
        <w:ind w:firstLine="480" w:firstLineChars="200"/>
      </w:pPr>
      <w:r>
        <w:rPr>
          <w:rFonts w:hint="eastAsia" w:ascii="宋体" w:hAnsi="宋体" w:cs="宋体"/>
          <w:bCs/>
          <w:sz w:val="24"/>
        </w:rPr>
        <w:t>3.主持人宣布评标会议纪律及评标期间的有关事项；告知应当回避的情形,提请有关人员回避；</w:t>
      </w:r>
    </w:p>
    <w:p>
      <w:pPr>
        <w:spacing w:line="360" w:lineRule="auto"/>
        <w:ind w:firstLine="480" w:firstLineChars="200"/>
        <w:rPr>
          <w:rFonts w:ascii="宋体"/>
          <w:sz w:val="24"/>
        </w:rPr>
      </w:pPr>
      <w:r>
        <w:rPr>
          <w:rFonts w:hint="eastAsia" w:ascii="宋体"/>
          <w:sz w:val="24"/>
        </w:rPr>
        <w:t>4.谈判及评审程序</w:t>
      </w:r>
    </w:p>
    <w:p>
      <w:pPr>
        <w:spacing w:line="360" w:lineRule="auto"/>
        <w:ind w:firstLine="480" w:firstLineChars="200"/>
        <w:rPr>
          <w:rFonts w:ascii="宋体" w:hAnsi="宋体" w:cs="宋体"/>
          <w:sz w:val="24"/>
        </w:rPr>
      </w:pPr>
      <w:r>
        <w:rPr>
          <w:rFonts w:hint="eastAsia" w:ascii="宋体" w:hAnsi="宋体" w:cs="宋体"/>
          <w:sz w:val="24"/>
        </w:rPr>
        <w:t>4.1由采购人进行资格审查；</w:t>
      </w:r>
    </w:p>
    <w:p>
      <w:pPr>
        <w:spacing w:line="360" w:lineRule="auto"/>
        <w:ind w:left="479" w:leftChars="228"/>
        <w:rPr>
          <w:rFonts w:ascii="宋体"/>
          <w:sz w:val="24"/>
        </w:rPr>
      </w:pPr>
      <w:r>
        <w:rPr>
          <w:rFonts w:hint="eastAsia" w:ascii="宋体" w:hAnsi="宋体" w:cs="宋体"/>
          <w:sz w:val="24"/>
        </w:rPr>
        <w:t>4.2</w:t>
      </w:r>
      <w:r>
        <w:rPr>
          <w:rFonts w:hint="eastAsia" w:ascii="宋体"/>
          <w:sz w:val="24"/>
        </w:rPr>
        <w:t>谈判小组审核谈判文件。</w:t>
      </w:r>
    </w:p>
    <w:p>
      <w:pPr>
        <w:spacing w:line="360" w:lineRule="auto"/>
        <w:ind w:firstLine="480" w:firstLineChars="200"/>
        <w:rPr>
          <w:rFonts w:ascii="宋体"/>
          <w:sz w:val="24"/>
        </w:rPr>
      </w:pPr>
      <w:r>
        <w:rPr>
          <w:rFonts w:hint="eastAsia" w:ascii="宋体"/>
          <w:sz w:val="24"/>
        </w:rPr>
        <w:t>（1）谈判响应方所提供的服务是否满足采购要求；</w:t>
      </w:r>
    </w:p>
    <w:p>
      <w:pPr>
        <w:spacing w:line="360" w:lineRule="auto"/>
        <w:ind w:firstLine="480" w:firstLineChars="200"/>
        <w:rPr>
          <w:rFonts w:ascii="宋体"/>
          <w:sz w:val="24"/>
        </w:rPr>
      </w:pPr>
      <w:r>
        <w:rPr>
          <w:rFonts w:hint="eastAsia" w:ascii="宋体"/>
          <w:sz w:val="24"/>
        </w:rPr>
        <w:t>（2）资信情况、履约能力；</w:t>
      </w:r>
    </w:p>
    <w:p>
      <w:pPr>
        <w:pStyle w:val="2"/>
        <w:spacing w:line="360" w:lineRule="auto"/>
        <w:ind w:firstLine="480" w:firstLineChars="200"/>
      </w:pPr>
      <w:r>
        <w:rPr>
          <w:rFonts w:hint="eastAsia" w:ascii="宋体"/>
          <w:sz w:val="24"/>
        </w:rPr>
        <w:t>（3）谈判文件规定的其他相关要求。</w:t>
      </w:r>
    </w:p>
    <w:p>
      <w:pPr>
        <w:spacing w:line="360" w:lineRule="auto"/>
        <w:ind w:firstLine="480" w:firstLineChars="200"/>
        <w:rPr>
          <w:rFonts w:ascii="宋体"/>
          <w:sz w:val="24"/>
        </w:rPr>
      </w:pPr>
      <w:r>
        <w:rPr>
          <w:rFonts w:hint="eastAsia" w:ascii="宋体"/>
          <w:sz w:val="24"/>
        </w:rPr>
        <w:t>4.3依据谈判文件的规定，从谈判响应文件的有效性、完整性和对谈判文件的响应程度进行审查，以确定是否对谈判文件的实质性要求做出响应。</w:t>
      </w:r>
    </w:p>
    <w:p>
      <w:pPr>
        <w:spacing w:line="360" w:lineRule="auto"/>
        <w:ind w:firstLine="480" w:firstLineChars="200"/>
        <w:rPr>
          <w:rFonts w:ascii="宋体" w:hAnsi="宋体" w:cs="宋体"/>
          <w:kern w:val="0"/>
          <w:sz w:val="24"/>
        </w:rPr>
      </w:pPr>
      <w:r>
        <w:rPr>
          <w:rFonts w:hint="eastAsia" w:ascii="宋体" w:hAnsi="宋体" w:cs="宋体"/>
          <w:kern w:val="0"/>
          <w:sz w:val="24"/>
        </w:rPr>
        <w:t>4.4 谈判小组汇总并讨论审核情况，根据技术参考内容，确定</w:t>
      </w:r>
      <w:r>
        <w:rPr>
          <w:rFonts w:hint="eastAsia" w:ascii="宋体" w:hAnsi="宋体" w:cs="宋体"/>
          <w:kern w:val="0"/>
          <w:sz w:val="24"/>
          <w:lang w:eastAsia="zh-CN"/>
        </w:rPr>
        <w:t>投标文件</w:t>
      </w:r>
      <w:r>
        <w:rPr>
          <w:rFonts w:hint="eastAsia" w:ascii="宋体" w:hAnsi="宋体" w:cs="宋体"/>
          <w:kern w:val="0"/>
          <w:sz w:val="24"/>
        </w:rPr>
        <w:t>通过符合性审查的谈判响应方。</w:t>
      </w:r>
    </w:p>
    <w:p>
      <w:pPr>
        <w:pStyle w:val="2"/>
        <w:ind w:firstLine="240"/>
      </w:pPr>
      <w:r>
        <w:rPr>
          <w:rFonts w:hint="eastAsia" w:ascii="宋体" w:hAnsi="宋体" w:cs="宋体"/>
          <w:kern w:val="0"/>
          <w:sz w:val="24"/>
        </w:rPr>
        <w:t xml:space="preserve">  4.5开启报价文件</w:t>
      </w:r>
    </w:p>
    <w:p>
      <w:pPr>
        <w:spacing w:line="360" w:lineRule="auto"/>
        <w:ind w:firstLine="480" w:firstLineChars="200"/>
        <w:rPr>
          <w:rFonts w:ascii="宋体" w:hAnsi="宋体" w:cs="宋体"/>
          <w:kern w:val="0"/>
          <w:sz w:val="27"/>
          <w:szCs w:val="27"/>
        </w:rPr>
      </w:pPr>
      <w:r>
        <w:rPr>
          <w:rFonts w:hint="eastAsia" w:ascii="宋体" w:hAnsi="宋体" w:cs="宋体"/>
          <w:kern w:val="0"/>
          <w:sz w:val="24"/>
        </w:rPr>
        <w:t>4.6谈判小组</w:t>
      </w:r>
      <w:r>
        <w:rPr>
          <w:rFonts w:hint="eastAsia" w:ascii="宋体" w:hAnsi="宋体" w:cs="宋体"/>
          <w:kern w:val="0"/>
          <w:sz w:val="24"/>
          <w:lang w:eastAsia="zh-CN"/>
        </w:rPr>
        <w:t>对投标文件</w:t>
      </w:r>
      <w:r>
        <w:rPr>
          <w:rFonts w:hint="eastAsia" w:ascii="宋体" w:hAnsi="宋体" w:cs="宋体"/>
          <w:kern w:val="0"/>
          <w:sz w:val="24"/>
        </w:rPr>
        <w:t>通过审</w:t>
      </w:r>
      <w:bookmarkStart w:id="28" w:name="_GoBack"/>
      <w:bookmarkEnd w:id="28"/>
      <w:r>
        <w:rPr>
          <w:rFonts w:hint="eastAsia" w:ascii="宋体" w:hAnsi="宋体" w:cs="宋体"/>
          <w:kern w:val="0"/>
          <w:sz w:val="24"/>
        </w:rPr>
        <w:t>查的谈判响应方进行报价商谈。</w:t>
      </w:r>
    </w:p>
    <w:p>
      <w:pPr>
        <w:spacing w:line="360" w:lineRule="auto"/>
        <w:ind w:firstLine="480" w:firstLineChars="200"/>
        <w:rPr>
          <w:rFonts w:ascii="宋体"/>
          <w:sz w:val="24"/>
        </w:rPr>
      </w:pPr>
      <w:r>
        <w:rPr>
          <w:rFonts w:hint="eastAsia" w:ascii="宋体"/>
          <w:sz w:val="24"/>
        </w:rPr>
        <w:t>（1）专家们就讨论和汇总的情况与供应商展开谈判；</w:t>
      </w:r>
    </w:p>
    <w:p>
      <w:pPr>
        <w:spacing w:line="360" w:lineRule="auto"/>
        <w:ind w:firstLine="480" w:firstLineChars="200"/>
        <w:rPr>
          <w:rFonts w:ascii="宋体"/>
          <w:sz w:val="24"/>
        </w:rPr>
      </w:pPr>
      <w:r>
        <w:rPr>
          <w:rFonts w:hint="eastAsia" w:ascii="宋体"/>
          <w:sz w:val="24"/>
        </w:rPr>
        <w:t>（2）供应商承诺并确认成果的商</w:t>
      </w:r>
      <w:r>
        <w:rPr>
          <w:rFonts w:hint="eastAsia" w:ascii="宋体"/>
          <w:color w:val="auto"/>
          <w:sz w:val="24"/>
        </w:rPr>
        <w:t>务要求，</w:t>
      </w:r>
      <w:r>
        <w:rPr>
          <w:rFonts w:hint="eastAsia" w:ascii="宋体"/>
          <w:color w:val="auto"/>
          <w:sz w:val="24"/>
          <w:lang w:eastAsia="zh-CN"/>
        </w:rPr>
        <w:t>提交</w:t>
      </w:r>
      <w:r>
        <w:rPr>
          <w:rFonts w:hint="eastAsia" w:ascii="宋体"/>
          <w:b/>
          <w:bCs/>
          <w:color w:val="auto"/>
          <w:sz w:val="24"/>
        </w:rPr>
        <w:t>最终报价</w:t>
      </w:r>
      <w:r>
        <w:rPr>
          <w:rFonts w:hint="eastAsia" w:ascii="宋体"/>
          <w:b/>
          <w:bCs/>
          <w:color w:val="auto"/>
          <w:sz w:val="24"/>
          <w:lang w:eastAsia="zh-CN"/>
        </w:rPr>
        <w:t>（</w:t>
      </w:r>
      <w:r>
        <w:rPr>
          <w:rFonts w:hint="eastAsia" w:ascii="宋体"/>
          <w:color w:val="auto"/>
          <w:sz w:val="24"/>
          <w:lang w:eastAsia="zh-CN"/>
        </w:rPr>
        <w:t>钉钉群公布邮箱</w:t>
      </w:r>
      <w:r>
        <w:rPr>
          <w:rFonts w:hint="eastAsia" w:ascii="宋体"/>
          <w:b/>
          <w:bCs/>
          <w:color w:val="auto"/>
          <w:sz w:val="24"/>
          <w:lang w:eastAsia="zh-CN"/>
        </w:rPr>
        <w:t>）</w:t>
      </w:r>
      <w:r>
        <w:rPr>
          <w:rFonts w:hint="eastAsia" w:ascii="宋体"/>
          <w:color w:val="auto"/>
          <w:sz w:val="24"/>
        </w:rPr>
        <w:t>。</w:t>
      </w:r>
    </w:p>
    <w:p>
      <w:pPr>
        <w:spacing w:line="360" w:lineRule="auto"/>
        <w:ind w:firstLine="480" w:firstLineChars="200"/>
        <w:rPr>
          <w:rFonts w:ascii="宋体"/>
          <w:sz w:val="24"/>
        </w:rPr>
      </w:pPr>
      <w:r>
        <w:rPr>
          <w:rFonts w:hint="eastAsia" w:ascii="宋体"/>
          <w:sz w:val="24"/>
        </w:rPr>
        <w:t>4.7谈判小组按谈判原则和方法推荐中标候选人并起草评审报告。</w:t>
      </w:r>
    </w:p>
    <w:p>
      <w:pPr>
        <w:spacing w:line="360" w:lineRule="auto"/>
        <w:ind w:firstLine="482" w:firstLineChars="200"/>
        <w:rPr>
          <w:rFonts w:ascii="宋体" w:hAnsi="宋体" w:cs="宋体"/>
          <w:b/>
          <w:sz w:val="24"/>
        </w:rPr>
      </w:pPr>
      <w:r>
        <w:rPr>
          <w:rFonts w:hint="eastAsia" w:ascii="宋体" w:hAnsi="宋体" w:cs="宋体"/>
          <w:b/>
          <w:sz w:val="24"/>
        </w:rPr>
        <w:t>五、中标通知</w:t>
      </w:r>
    </w:p>
    <w:p>
      <w:pPr>
        <w:spacing w:line="360" w:lineRule="auto"/>
        <w:ind w:firstLine="360" w:firstLineChars="150"/>
        <w:rPr>
          <w:rFonts w:ascii="宋体" w:hAnsi="宋体" w:cs="宋体"/>
          <w:sz w:val="24"/>
        </w:rPr>
      </w:pPr>
      <w:r>
        <w:rPr>
          <w:rFonts w:hint="eastAsia" w:ascii="宋体" w:hAnsi="宋体" w:cs="宋体"/>
          <w:sz w:val="24"/>
        </w:rPr>
        <w:t>（一）中标公告期限为1个工作日。谈判方以书面形式发出《中标通知书》，并同时在相关网站上公布成交结果。</w:t>
      </w:r>
    </w:p>
    <w:p>
      <w:pPr>
        <w:spacing w:line="360" w:lineRule="auto"/>
        <w:ind w:firstLine="360" w:firstLineChars="150"/>
        <w:rPr>
          <w:rFonts w:ascii="宋体" w:hAnsi="宋体" w:cs="宋体"/>
          <w:sz w:val="24"/>
        </w:rPr>
      </w:pPr>
      <w:r>
        <w:rPr>
          <w:rFonts w:hint="eastAsia" w:ascii="宋体" w:hAnsi="宋体" w:cs="宋体"/>
          <w:sz w:val="24"/>
        </w:rPr>
        <w:t>（二）确定中标人后，中标人应在三个工作日内，向谈判方领取《中标通知书》，否则按放弃中标资格处理，并因违反诚信原则，提交财政部门列入政府采购黑名单。</w:t>
      </w:r>
    </w:p>
    <w:p>
      <w:pPr>
        <w:spacing w:line="360" w:lineRule="auto"/>
        <w:ind w:firstLine="360" w:firstLineChars="150"/>
        <w:rPr>
          <w:rFonts w:ascii="宋体" w:hAnsi="宋体" w:cs="宋体"/>
          <w:sz w:val="24"/>
        </w:rPr>
      </w:pPr>
      <w:r>
        <w:rPr>
          <w:rFonts w:hint="eastAsia" w:ascii="宋体" w:hAnsi="宋体" w:cs="宋体"/>
          <w:sz w:val="24"/>
        </w:rPr>
        <w:t>（三）中标通知书发出后，若中标人放弃成交，应当承担相应的法律责任，中标通知书对采购人和中标谈判响应方具有同等法律效力。</w:t>
      </w:r>
    </w:p>
    <w:p>
      <w:pPr>
        <w:spacing w:line="360" w:lineRule="auto"/>
        <w:ind w:firstLine="482" w:firstLineChars="200"/>
        <w:rPr>
          <w:rFonts w:ascii="宋体" w:hAnsi="宋体" w:cs="宋体"/>
          <w:b/>
          <w:sz w:val="24"/>
        </w:rPr>
      </w:pPr>
      <w:r>
        <w:rPr>
          <w:rFonts w:hint="eastAsia" w:ascii="宋体" w:hAnsi="宋体" w:cs="宋体"/>
          <w:b/>
          <w:sz w:val="24"/>
        </w:rPr>
        <w:t>六、合同签订</w:t>
      </w:r>
    </w:p>
    <w:p>
      <w:pPr>
        <w:spacing w:line="360" w:lineRule="auto"/>
        <w:ind w:firstLine="480" w:firstLineChars="200"/>
        <w:rPr>
          <w:rFonts w:ascii="宋体" w:hAnsi="宋体" w:cs="宋体"/>
          <w:sz w:val="24"/>
        </w:rPr>
      </w:pPr>
      <w:r>
        <w:rPr>
          <w:rFonts w:hint="eastAsia" w:ascii="宋体" w:hAnsi="宋体" w:cs="宋体"/>
          <w:sz w:val="24"/>
        </w:rPr>
        <w:t>采购人与中标人应当在《中标通知书》发出之日起30日内签订采购合同，如中标人拖延、拒签合同，在30日内未完成合同签订的，按自动放弃中标处理，并承担相应的法律责任，中标通知书对采购人和中标单位具有同等法律效力。</w:t>
      </w:r>
    </w:p>
    <w:p>
      <w:pPr>
        <w:spacing w:line="360" w:lineRule="auto"/>
        <w:ind w:firstLine="480"/>
        <w:rPr>
          <w:rFonts w:cs="宋体"/>
          <w:bCs/>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snapToGrid w:val="0"/>
        <w:spacing w:line="360" w:lineRule="auto"/>
        <w:jc w:val="center"/>
        <w:outlineLvl w:val="0"/>
        <w:rPr>
          <w:rFonts w:ascii="宋体" w:hAnsi="宋体" w:cs="宋体"/>
          <w:b/>
          <w:bCs/>
          <w:color w:val="000000" w:themeColor="text1"/>
          <w:sz w:val="32"/>
          <w:szCs w:val="32"/>
          <w14:textFill>
            <w14:solidFill>
              <w14:schemeClr w14:val="tx1"/>
            </w14:solidFill>
          </w14:textFill>
        </w:rPr>
      </w:pPr>
    </w:p>
    <w:p>
      <w:pPr>
        <w:snapToGrid w:val="0"/>
        <w:spacing w:line="360" w:lineRule="auto"/>
        <w:jc w:val="center"/>
        <w:outlineLvl w:val="0"/>
        <w:rPr>
          <w:rFonts w:ascii="宋体" w:hAnsi="宋体" w:cs="宋体"/>
          <w:b/>
          <w:bCs/>
          <w:color w:val="000000" w:themeColor="text1"/>
          <w:sz w:val="32"/>
          <w:szCs w:val="32"/>
          <w14:textFill>
            <w14:solidFill>
              <w14:schemeClr w14:val="tx1"/>
            </w14:solidFill>
          </w14:textFill>
        </w:rPr>
      </w:pPr>
      <w:bookmarkStart w:id="9" w:name="_Toc17605"/>
      <w:r>
        <w:rPr>
          <w:rFonts w:ascii="宋体" w:hAnsi="宋体" w:cs="宋体"/>
          <w:b/>
          <w:bCs/>
          <w:color w:val="000000" w:themeColor="text1"/>
          <w:sz w:val="32"/>
          <w:szCs w:val="32"/>
          <w14:textFill>
            <w14:solidFill>
              <w14:schemeClr w14:val="tx1"/>
            </w14:solidFill>
          </w14:textFill>
        </w:rPr>
        <w:t>第</w:t>
      </w:r>
      <w:r>
        <w:rPr>
          <w:rFonts w:hint="eastAsia" w:ascii="宋体" w:hAnsi="宋体" w:cs="宋体"/>
          <w:b/>
          <w:bCs/>
          <w:color w:val="000000" w:themeColor="text1"/>
          <w:sz w:val="32"/>
          <w:szCs w:val="32"/>
          <w14:textFill>
            <w14:solidFill>
              <w14:schemeClr w14:val="tx1"/>
            </w14:solidFill>
          </w14:textFill>
        </w:rPr>
        <w:t>六</w:t>
      </w:r>
      <w:r>
        <w:rPr>
          <w:rFonts w:ascii="宋体" w:hAnsi="宋体" w:cs="宋体"/>
          <w:b/>
          <w:bCs/>
          <w:color w:val="000000" w:themeColor="text1"/>
          <w:sz w:val="32"/>
          <w:szCs w:val="32"/>
          <w14:textFill>
            <w14:solidFill>
              <w14:schemeClr w14:val="tx1"/>
            </w14:solidFill>
          </w14:textFill>
        </w:rPr>
        <w:t>章  采购合同主要条款</w:t>
      </w:r>
      <w:bookmarkEnd w:id="9"/>
    </w:p>
    <w:p>
      <w:pPr>
        <w:pStyle w:val="6"/>
        <w:keepNext w:val="0"/>
        <w:keepLines w:val="0"/>
        <w:pageBreakBefore w:val="0"/>
        <w:widowControl w:val="0"/>
        <w:kinsoku/>
        <w:wordWrap/>
        <w:overflowPunct/>
        <w:topLinePunct w:val="0"/>
        <w:autoSpaceDE/>
        <w:autoSpaceDN/>
        <w:bidi w:val="0"/>
        <w:adjustRightInd/>
        <w:spacing w:before="0" w:after="0" w:line="240" w:lineRule="auto"/>
        <w:jc w:val="center"/>
        <w:textAlignment w:val="auto"/>
        <w:rPr>
          <w:rFonts w:ascii="宋体" w:hAnsi="宋体" w:cs="宋体"/>
          <w:bCs w:val="0"/>
          <w:color w:val="000000" w:themeColor="text1"/>
          <w:sz w:val="30"/>
          <w:szCs w:val="20"/>
          <w14:textFill>
            <w14:solidFill>
              <w14:schemeClr w14:val="tx1"/>
            </w14:solidFill>
          </w14:textFill>
        </w:rPr>
      </w:pPr>
      <w:bookmarkStart w:id="10" w:name="_Toc18948"/>
      <w:r>
        <w:rPr>
          <w:rFonts w:ascii="宋体" w:hAnsi="宋体" w:cs="宋体"/>
          <w:color w:val="000000" w:themeColor="text1"/>
          <w:sz w:val="30"/>
          <w14:textFill>
            <w14:solidFill>
              <w14:schemeClr w14:val="tx1"/>
            </w14:solidFill>
          </w14:textFill>
        </w:rPr>
        <w:t>采购合同（样本）</w:t>
      </w:r>
      <w:bookmarkEnd w:id="10"/>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                   项目编号：               合同号：</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甲方（买方）：</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乙方（卖方）：</w:t>
      </w:r>
    </w:p>
    <w:p>
      <w:pPr>
        <w:keepNext w:val="0"/>
        <w:keepLines w:val="0"/>
        <w:pageBreakBefore w:val="0"/>
        <w:widowControl w:val="0"/>
        <w:kinsoku/>
        <w:wordWrap/>
        <w:overflowPunct/>
        <w:topLinePunct w:val="0"/>
        <w:autoSpaceDE/>
        <w:autoSpaceDN/>
        <w:bidi w:val="0"/>
        <w:adjustRightInd/>
        <w:snapToGrid w:val="0"/>
        <w:spacing w:before="156" w:after="156" w:line="240" w:lineRule="auto"/>
        <w:ind w:firstLine="480" w:firstLineChars="200"/>
        <w:textAlignment w:val="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甲、乙双方根据    年 </w:t>
      </w:r>
      <w:r>
        <w:rPr>
          <w:rFonts w:hint="eastAsia" w:ascii="宋体" w:hAnsi="宋体" w:cs="宋体"/>
          <w:color w:val="000000" w:themeColor="text1"/>
          <w:sz w:val="24"/>
          <w:lang w:val="en-US" w:eastAsia="zh-CN"/>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月</w:t>
      </w:r>
      <w:r>
        <w:rPr>
          <w:rFonts w:hint="eastAsia" w:ascii="宋体" w:hAnsi="宋体" w:cs="宋体"/>
          <w:color w:val="000000" w:themeColor="text1"/>
          <w:sz w:val="24"/>
          <w:lang w:val="en-US" w:eastAsia="zh-CN"/>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日</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关于项目公开招标的结果，签署本合同。</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一、货物内容</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货物名称：</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型号规格：</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技术参数：</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数量（单位）：</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二、合同金额</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本合同金额为（大写）：____________元（￥_______________元）人民币。</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三、技术资料</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1.乙方应按招标文件规定的时间向甲方提供使用货物的有关技术资料。</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没有甲方事先书面同意，乙方不得将由甲方提供的有关合同或任何合同条文、规</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格、计划、图纸、样品或资料提供给与履行本合同无关的任何其他人。即使向履行本</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2" w:hanging="412"/>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四、知识产权</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乙方应保证所提供的货物或其任何一部分均不会侵犯任何第三方的知识产权</w:t>
      </w:r>
      <w:r>
        <w:rPr>
          <w:rFonts w:ascii="宋体" w:hAnsi="宋体" w:cs="宋体"/>
          <w:bCs/>
          <w:color w:val="000000" w:themeColor="text1"/>
          <w:sz w:val="24"/>
          <w14:textFill>
            <w14:solidFill>
              <w14:schemeClr w14:val="tx1"/>
            </w14:solidFill>
          </w14:textFill>
        </w:rPr>
        <w:t>。</w:t>
      </w:r>
    </w:p>
    <w:p>
      <w:pPr>
        <w:pStyle w:val="47"/>
        <w:keepNext w:val="0"/>
        <w:keepLines w:val="0"/>
        <w:pageBreakBefore w:val="0"/>
        <w:widowControl w:val="0"/>
        <w:numPr>
          <w:ilvl w:val="0"/>
          <w:numId w:val="6"/>
        </w:numPr>
        <w:kinsoku/>
        <w:wordWrap/>
        <w:overflowPunct/>
        <w:topLinePunct w:val="0"/>
        <w:autoSpaceDE/>
        <w:autoSpaceDN/>
        <w:bidi w:val="0"/>
        <w:adjustRightInd/>
        <w:snapToGrid w:val="0"/>
        <w:spacing w:before="156" w:after="156" w:line="240" w:lineRule="auto"/>
        <w:ind w:firstLineChars="0"/>
        <w:textAlignment w:val="auto"/>
        <w:rPr>
          <w:rFonts w:ascii="宋体" w:hAnsi="宋体" w:cs="宋体"/>
          <w:color w:val="000000" w:themeColor="text1"/>
          <w:sz w:val="24"/>
          <w:u w:val="single"/>
          <w14:textFill>
            <w14:solidFill>
              <w14:schemeClr w14:val="tx1"/>
            </w14:solidFill>
          </w14:textFill>
        </w:rPr>
      </w:pPr>
      <w:r>
        <w:rPr>
          <w:rFonts w:ascii="宋体" w:hAnsi="宋体" w:cs="宋体"/>
          <w:b/>
          <w:color w:val="000000" w:themeColor="text1"/>
          <w:sz w:val="24"/>
          <w14:textFill>
            <w14:solidFill>
              <w14:schemeClr w14:val="tx1"/>
            </w14:solidFill>
          </w14:textFill>
        </w:rPr>
        <w:t>产权担保</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08" w:hanging="408"/>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乙方保证所交付的货物的所有权完全属于乙方且无任何抵押、查封等产权瑕疵。</w:t>
      </w:r>
    </w:p>
    <w:p>
      <w:pPr>
        <w:pStyle w:val="47"/>
        <w:keepNext w:val="0"/>
        <w:keepLines w:val="0"/>
        <w:pageBreakBefore w:val="0"/>
        <w:widowControl w:val="0"/>
        <w:numPr>
          <w:ilvl w:val="0"/>
          <w:numId w:val="6"/>
        </w:numPr>
        <w:kinsoku/>
        <w:wordWrap/>
        <w:overflowPunct/>
        <w:topLinePunct w:val="0"/>
        <w:autoSpaceDE/>
        <w:autoSpaceDN/>
        <w:bidi w:val="0"/>
        <w:adjustRightInd/>
        <w:snapToGrid w:val="0"/>
        <w:spacing w:before="156" w:after="156" w:line="240" w:lineRule="auto"/>
        <w:ind w:firstLineChars="0"/>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履约保证金</w:t>
      </w:r>
    </w:p>
    <w:p>
      <w:pPr>
        <w:keepNext w:val="0"/>
        <w:keepLines w:val="0"/>
        <w:pageBreakBefore w:val="0"/>
        <w:widowControl w:val="0"/>
        <w:kinsoku/>
        <w:wordWrap/>
        <w:overflowPunct/>
        <w:topLinePunct w:val="0"/>
        <w:autoSpaceDE/>
        <w:autoSpaceDN/>
        <w:bidi w:val="0"/>
        <w:adjustRightInd/>
        <w:snapToGrid w:val="0"/>
        <w:spacing w:before="156" w:after="156" w:line="240" w:lineRule="auto"/>
        <w:ind w:firstLine="480" w:firstLineChars="20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在合同签订前汇入甲方指定账户，于</w:t>
      </w:r>
      <w:r>
        <w:rPr>
          <w:rFonts w:ascii="宋体" w:hAnsi="宋体" w:cs="宋体"/>
          <w:color w:val="000000" w:themeColor="text1"/>
          <w:sz w:val="24"/>
          <w14:textFill>
            <w14:solidFill>
              <w14:schemeClr w14:val="tx1"/>
            </w14:solidFill>
          </w14:textFill>
        </w:rPr>
        <w:t>项目完成且验收合格（由采购人出具验收合格报告，要求原件）之日起15个工作日内退还。</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七、转包或分包</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1.本合同范围的货物，应由乙方直接供应，不得转让他人供应；</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2.除非得到甲方的书面同意，乙方不得将本合同范围的货物全部或部分分包给他人供应；</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八、质保期和质保金</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质保期</w:t>
      </w:r>
      <w:r>
        <w:rPr>
          <w:rFonts w:ascii="宋体" w:hAnsi="宋体" w:cs="宋体"/>
          <w:color w:val="000000" w:themeColor="text1"/>
          <w:sz w:val="24"/>
          <w:u w:val="single"/>
          <w14:textFill>
            <w14:solidFill>
              <w14:schemeClr w14:val="tx1"/>
            </w14:solidFill>
          </w14:textFill>
        </w:rPr>
        <w:t xml:space="preserve">   1  </w:t>
      </w:r>
      <w:r>
        <w:rPr>
          <w:rFonts w:ascii="宋体" w:hAnsi="宋体" w:cs="宋体"/>
          <w:color w:val="000000" w:themeColor="text1"/>
          <w:sz w:val="24"/>
          <w14:textFill>
            <w14:solidFill>
              <w14:schemeClr w14:val="tx1"/>
            </w14:solidFill>
          </w14:textFill>
        </w:rPr>
        <w:t>年。（自交货验收合格之日起计）</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九、交货期、交货地点</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Cs/>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1. 交货期：</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2.交货地点：</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十、付款方式</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十一、税费</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2" w:hanging="412"/>
        <w:textAlignment w:val="auto"/>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十二、质量保证及售后服务</w:t>
      </w:r>
    </w:p>
    <w:p>
      <w:pPr>
        <w:keepNext w:val="0"/>
        <w:keepLines w:val="0"/>
        <w:pageBreakBefore w:val="0"/>
        <w:widowControl w:val="0"/>
        <w:tabs>
          <w:tab w:val="left" w:pos="0"/>
        </w:tabs>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.乙方应按招标文件规定的货物性能、技术要求、质量标准向甲方提供</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未经使用的全新产品。</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乙方提供的货物在质保期内因货物本身的质量问题发生故障，乙方应负责免费更</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before="156" w:after="156" w:line="240" w:lineRule="auto"/>
        <w:ind w:firstLine="42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⑴更换：由乙方承担所发生的全部费用。</w:t>
      </w:r>
    </w:p>
    <w:p>
      <w:pPr>
        <w:keepNext w:val="0"/>
        <w:keepLines w:val="0"/>
        <w:pageBreakBefore w:val="0"/>
        <w:widowControl w:val="0"/>
        <w:kinsoku/>
        <w:wordWrap/>
        <w:overflowPunct/>
        <w:topLinePunct w:val="0"/>
        <w:autoSpaceDE/>
        <w:autoSpaceDN/>
        <w:bidi w:val="0"/>
        <w:adjustRightInd/>
        <w:snapToGrid w:val="0"/>
        <w:spacing w:before="156" w:after="156" w:line="240" w:lineRule="auto"/>
        <w:ind w:firstLine="42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⑵贬值处理：由甲乙双方合议定价。</w:t>
      </w:r>
    </w:p>
    <w:p>
      <w:pPr>
        <w:keepNext w:val="0"/>
        <w:keepLines w:val="0"/>
        <w:pageBreakBefore w:val="0"/>
        <w:widowControl w:val="0"/>
        <w:kinsoku/>
        <w:wordWrap/>
        <w:overflowPunct/>
        <w:topLinePunct w:val="0"/>
        <w:autoSpaceDE/>
        <w:autoSpaceDN/>
        <w:bidi w:val="0"/>
        <w:adjustRightInd/>
        <w:snapToGrid w:val="0"/>
        <w:spacing w:before="120" w:after="120" w:line="240" w:lineRule="auto"/>
        <w:ind w:left="42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如在使用过程中发生质量问题，乙方在接到甲方通知后在小时内到达甲方现场。</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5.上述的货物免费保修期为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2</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年，因人为因素出现的故障不在免费保修范围内。超过保修期的机器货物，终生维修，维修时只收部件成本费。</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十三、调试和验收</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十四、货物包装、发运及运输</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乙方应在货物发运前对其进行满足运输距离、防潮、防震、防锈和防破损装卸等</w:t>
      </w:r>
      <w:r>
        <w:rPr>
          <w:rFonts w:hint="eastAsia" w:ascii="宋体" w:hAnsi="宋体" w:cs="宋体"/>
          <w:color w:val="000000" w:themeColor="text1"/>
          <w:sz w:val="24"/>
          <w14:textFill>
            <w14:solidFill>
              <w14:schemeClr w14:val="tx1"/>
            </w14:solidFill>
          </w14:textFill>
        </w:rPr>
        <w:t>要</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求包装，以保证货物安全运达甲方指定地点。</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乙方在货物发运手续办理完毕后24小时内或货到甲方48小时前通知甲方，以准备</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接货。</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货物在交付甲方前发生的风险均由乙方负责。</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right="26"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货物在规定的交付期限内由乙方送达甲方指定的地点视为交付，乙方同时需通知甲</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right="26"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方货物已送达。</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十五、违约责任</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甲方无正当理由拒收货物的，甲方向乙方偿付拒收货款总值的百分之五违约金。</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甲方无故逾期验收和办理货款支付手续的,甲方应按逾期付款总额每日万分之五向</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乙方支付违约金。</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乙方逾期交付货物的，乙方应按逾期交货总额每日千分之六向甲方支付违约金，由</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甲方从待付货款中扣除。逾期超过约定日期10个工作日不能交货的，甲方可解除本合</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同。乙方因逾期交货或因其他违约行为导致甲方解除合同的，乙方应向甲方支付合同</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总值5%的违约金，如造成甲方损失超过违约金的，超出部分由乙方继续承担赔偿</w:t>
      </w:r>
      <w:r>
        <w:rPr>
          <w:rFonts w:hint="eastAsia" w:ascii="宋体" w:hAnsi="宋体" w:cs="宋体"/>
          <w:color w:val="000000" w:themeColor="text1"/>
          <w:sz w:val="24"/>
          <w14:textFill>
            <w14:solidFill>
              <w14:schemeClr w14:val="tx1"/>
            </w14:solidFill>
          </w14:textFill>
        </w:rPr>
        <w:t>责</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任。 </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乙方所交的货物品种、型号、规格、技术参数、质量不符合合同规定及招标文件规</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定标准的，甲方有权拒收该货物，乙方愿意更换货物但逾期交货的，按乙方逾期交货</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处理。乙方拒绝更换货物的，甲方可单方面解除合同。</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十六、不可抗力事件处理</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10" w:hanging="4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十七、诉讼</w:t>
      </w:r>
    </w:p>
    <w:p>
      <w:pPr>
        <w:keepNext w:val="0"/>
        <w:keepLines w:val="0"/>
        <w:pageBreakBefore w:val="0"/>
        <w:widowControl w:val="0"/>
        <w:kinsoku/>
        <w:wordWrap/>
        <w:overflowPunct/>
        <w:topLinePunct w:val="0"/>
        <w:autoSpaceDE/>
        <w:autoSpaceDN/>
        <w:bidi w:val="0"/>
        <w:adjustRightInd/>
        <w:snapToGrid w:val="0"/>
        <w:spacing w:before="156" w:after="156" w:line="240" w:lineRule="auto"/>
        <w:ind w:left="480" w:hanging="48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双方在执行合同中所发生的一切争议，应通过协商解决。如协商不成，可向甲方所</w:t>
      </w:r>
    </w:p>
    <w:p>
      <w:pPr>
        <w:keepNext w:val="0"/>
        <w:keepLines w:val="0"/>
        <w:pageBreakBefore w:val="0"/>
        <w:widowControl w:val="0"/>
        <w:kinsoku/>
        <w:wordWrap/>
        <w:overflowPunct/>
        <w:topLinePunct w:val="0"/>
        <w:autoSpaceDE/>
        <w:autoSpaceDN/>
        <w:bidi w:val="0"/>
        <w:adjustRightInd/>
        <w:snapToGrid w:val="0"/>
        <w:spacing w:before="156" w:after="156"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在地、法院起诉。</w:t>
      </w:r>
    </w:p>
    <w:p>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十八、合同生效及其它</w:t>
      </w:r>
    </w:p>
    <w:p>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合同经三方法定代表人或授权代表签字并加盖单位公章后生效。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2.合同执行中涉及采购资金和采购内容修改或补充的，签书面补充协议，作为主合同不可分割的一部分。</w:t>
      </w:r>
    </w:p>
    <w:p>
      <w:pPr>
        <w:keepNext w:val="0"/>
        <w:keepLines w:val="0"/>
        <w:pageBreakBefore w:val="0"/>
        <w:widowControl w:val="0"/>
        <w:kinsoku/>
        <w:wordWrap/>
        <w:overflowPunct/>
        <w:topLinePunct w:val="0"/>
        <w:autoSpaceDE/>
        <w:autoSpaceDN/>
        <w:bidi w:val="0"/>
        <w:adjustRightInd/>
        <w:snapToGrid w:val="0"/>
        <w:spacing w:before="120" w:after="120"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3.本合同未尽事宜，遵照《中华人民共和国民法典》有关条文执行。</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4.本合同一式</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份，招</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甲、乙双方各执二份，其都具有同等法律效力。</w:t>
      </w:r>
    </w:p>
    <w:p>
      <w:pPr>
        <w:keepNext w:val="0"/>
        <w:keepLines w:val="0"/>
        <w:pageBreakBefore w:val="0"/>
        <w:widowControl w:val="0"/>
        <w:kinsoku/>
        <w:wordWrap/>
        <w:overflowPunct/>
        <w:topLinePunct w:val="0"/>
        <w:autoSpaceDE/>
        <w:autoSpaceDN/>
        <w:bidi w:val="0"/>
        <w:adjustRightInd/>
        <w:snapToGrid w:val="0"/>
        <w:spacing w:before="120" w:after="120" w:line="240" w:lineRule="auto"/>
        <w:ind w:left="480" w:hanging="480"/>
        <w:textAlignment w:val="auto"/>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before="120" w:after="120" w:line="240" w:lineRule="auto"/>
        <w:textAlignment w:val="auto"/>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甲方（盖公章）：                       乙方（盖公章）：</w:t>
      </w:r>
    </w:p>
    <w:p>
      <w:pPr>
        <w:keepNext w:val="0"/>
        <w:keepLines w:val="0"/>
        <w:pageBreakBefore w:val="0"/>
        <w:widowControl w:val="0"/>
        <w:kinsoku/>
        <w:wordWrap/>
        <w:overflowPunct/>
        <w:topLinePunct w:val="0"/>
        <w:autoSpaceDE/>
        <w:autoSpaceDN/>
        <w:bidi w:val="0"/>
        <w:adjustRightInd/>
        <w:snapToGrid w:val="0"/>
        <w:spacing w:before="120" w:after="120" w:line="24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法定代表人或受委托人                 法定代表人或受委托人</w:t>
      </w:r>
    </w:p>
    <w:p>
      <w:pPr>
        <w:keepNext w:val="0"/>
        <w:keepLines w:val="0"/>
        <w:pageBreakBefore w:val="0"/>
        <w:widowControl w:val="0"/>
        <w:kinsoku/>
        <w:wordWrap/>
        <w:overflowPunct/>
        <w:topLinePunct w:val="0"/>
        <w:autoSpaceDE/>
        <w:autoSpaceDN/>
        <w:bidi w:val="0"/>
        <w:adjustRightInd/>
        <w:snapToGrid w:val="0"/>
        <w:spacing w:before="120" w:after="120" w:line="240" w:lineRule="auto"/>
        <w:ind w:left="1" w:hanging="6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（签字）                             （签字）</w:t>
      </w:r>
    </w:p>
    <w:p>
      <w:pPr>
        <w:keepNext w:val="0"/>
        <w:keepLines w:val="0"/>
        <w:pageBreakBefore w:val="0"/>
        <w:widowControl w:val="0"/>
        <w:kinsoku/>
        <w:wordWrap/>
        <w:overflowPunct/>
        <w:topLinePunct w:val="0"/>
        <w:autoSpaceDE/>
        <w:autoSpaceDN/>
        <w:bidi w:val="0"/>
        <w:adjustRightInd/>
        <w:snapToGrid w:val="0"/>
        <w:spacing w:before="120" w:after="120" w:line="24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地址：                               地址： </w:t>
      </w:r>
    </w:p>
    <w:p>
      <w:pPr>
        <w:keepNext w:val="0"/>
        <w:keepLines w:val="0"/>
        <w:pageBreakBefore w:val="0"/>
        <w:widowControl w:val="0"/>
        <w:kinsoku/>
        <w:wordWrap/>
        <w:overflowPunct/>
        <w:topLinePunct w:val="0"/>
        <w:autoSpaceDE/>
        <w:autoSpaceDN/>
        <w:bidi w:val="0"/>
        <w:adjustRightInd/>
        <w:snapToGrid w:val="0"/>
        <w:spacing w:before="120" w:after="120" w:line="24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邮编：                               邮编：</w:t>
      </w:r>
    </w:p>
    <w:p>
      <w:pPr>
        <w:keepNext w:val="0"/>
        <w:keepLines w:val="0"/>
        <w:pageBreakBefore w:val="0"/>
        <w:widowControl w:val="0"/>
        <w:kinsoku/>
        <w:wordWrap/>
        <w:overflowPunct/>
        <w:topLinePunct w:val="0"/>
        <w:autoSpaceDE/>
        <w:autoSpaceDN/>
        <w:bidi w:val="0"/>
        <w:adjustRightInd/>
        <w:snapToGrid w:val="0"/>
        <w:spacing w:before="120" w:after="120" w:line="24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电话：                               电话：</w:t>
      </w:r>
    </w:p>
    <w:p>
      <w:pPr>
        <w:keepNext w:val="0"/>
        <w:keepLines w:val="0"/>
        <w:pageBreakBefore w:val="0"/>
        <w:widowControl w:val="0"/>
        <w:kinsoku/>
        <w:wordWrap/>
        <w:overflowPunct/>
        <w:topLinePunct w:val="0"/>
        <w:autoSpaceDE/>
        <w:autoSpaceDN/>
        <w:bidi w:val="0"/>
        <w:adjustRightInd/>
        <w:snapToGrid w:val="0"/>
        <w:spacing w:before="120" w:after="120" w:line="24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传真：                               传真：</w:t>
      </w:r>
    </w:p>
    <w:p>
      <w:pPr>
        <w:keepNext w:val="0"/>
        <w:keepLines w:val="0"/>
        <w:pageBreakBefore w:val="0"/>
        <w:widowControl w:val="0"/>
        <w:kinsoku/>
        <w:wordWrap/>
        <w:overflowPunct/>
        <w:topLinePunct w:val="0"/>
        <w:autoSpaceDE/>
        <w:autoSpaceDN/>
        <w:bidi w:val="0"/>
        <w:adjustRightInd/>
        <w:snapToGrid w:val="0"/>
        <w:spacing w:before="120" w:after="120" w:line="24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开户银行：                           开户银行：</w:t>
      </w:r>
    </w:p>
    <w:p>
      <w:pPr>
        <w:keepNext w:val="0"/>
        <w:keepLines w:val="0"/>
        <w:pageBreakBefore w:val="0"/>
        <w:widowControl w:val="0"/>
        <w:kinsoku/>
        <w:wordWrap/>
        <w:overflowPunct/>
        <w:topLinePunct w:val="0"/>
        <w:autoSpaceDE/>
        <w:autoSpaceDN/>
        <w:bidi w:val="0"/>
        <w:adjustRightInd/>
        <w:snapToGrid w:val="0"/>
        <w:spacing w:before="120" w:after="120" w:line="240" w:lineRule="auto"/>
        <w:ind w:hanging="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帐号：                               帐号：</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20" w:after="120" w:line="240" w:lineRule="auto"/>
        <w:jc w:val="center"/>
        <w:textAlignment w:val="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注：签订合同时，可以使用项目相关国家标准合同文本。</w:t>
      </w:r>
      <w:r>
        <w:rPr>
          <w:color w:val="000000" w:themeColor="text1"/>
          <w14:textFill>
            <w14:solidFill>
              <w14:schemeClr w14:val="tx1"/>
            </w14:solidFill>
          </w14:textFill>
        </w:rPr>
        <w:br w:type="page"/>
      </w:r>
    </w:p>
    <w:p>
      <w:pPr>
        <w:pStyle w:val="5"/>
        <w:keepNext w:val="0"/>
        <w:keepLines w:val="0"/>
        <w:pageBreakBefore/>
        <w:jc w:val="center"/>
        <w:rPr>
          <w:rFonts w:ascii="宋体" w:hAnsi="宋体" w:cs="宋体"/>
          <w:sz w:val="32"/>
          <w:szCs w:val="32"/>
        </w:rPr>
      </w:pPr>
      <w:bookmarkStart w:id="11" w:name="_Toc8916"/>
      <w:bookmarkStart w:id="12" w:name="_Toc22322"/>
      <w:r>
        <w:rPr>
          <w:rFonts w:hint="eastAsia" w:ascii="宋体" w:hAnsi="宋体" w:cs="宋体"/>
          <w:sz w:val="32"/>
          <w:szCs w:val="32"/>
        </w:rPr>
        <w:t>第七章  谈判响应文件附件格式</w:t>
      </w:r>
      <w:bookmarkEnd w:id="11"/>
      <w:bookmarkEnd w:id="12"/>
    </w:p>
    <w:p>
      <w:pPr>
        <w:keepNext/>
        <w:keepLines/>
        <w:spacing w:before="260" w:after="260" w:line="416" w:lineRule="auto"/>
        <w:outlineLvl w:val="1"/>
        <w:rPr>
          <w:rFonts w:ascii="宋体" w:hAnsi="宋体" w:cs="宋体"/>
          <w:bCs/>
          <w:sz w:val="24"/>
          <w:szCs w:val="32"/>
        </w:rPr>
      </w:pPr>
      <w:bookmarkStart w:id="13" w:name="_Toc28609"/>
      <w:bookmarkStart w:id="14" w:name="_Toc3306"/>
      <w:bookmarkStart w:id="15" w:name="_Toc1620"/>
      <w:r>
        <w:rPr>
          <w:rFonts w:hint="eastAsia" w:ascii="宋体" w:hAnsi="宋体" w:cs="宋体"/>
          <w:bCs/>
          <w:sz w:val="24"/>
          <w:szCs w:val="32"/>
        </w:rPr>
        <w:t>附件一：</w:t>
      </w:r>
      <w:bookmarkEnd w:id="13"/>
      <w:r>
        <w:rPr>
          <w:rFonts w:hint="eastAsia" w:ascii="宋体" w:hAnsi="宋体" w:cs="宋体"/>
          <w:bCs/>
          <w:sz w:val="24"/>
          <w:szCs w:val="32"/>
        </w:rPr>
        <w:t>投 标 书</w:t>
      </w:r>
      <w:bookmarkEnd w:id="14"/>
      <w:bookmarkEnd w:id="15"/>
    </w:p>
    <w:p>
      <w:pPr>
        <w:jc w:val="center"/>
        <w:rPr>
          <w:rFonts w:ascii="宋体" w:hAnsi="宋体" w:cs="宋体"/>
          <w:b/>
          <w:bCs/>
          <w:sz w:val="36"/>
          <w:szCs w:val="36"/>
        </w:rPr>
      </w:pPr>
      <w:r>
        <w:rPr>
          <w:rFonts w:hint="eastAsia" w:ascii="宋体" w:hAnsi="宋体" w:cs="宋体"/>
          <w:b/>
          <w:bCs/>
          <w:sz w:val="36"/>
          <w:szCs w:val="36"/>
        </w:rPr>
        <w:t>投 标 书</w:t>
      </w:r>
    </w:p>
    <w:p>
      <w:pPr>
        <w:widowControl/>
        <w:overflowPunct w:val="0"/>
        <w:autoSpaceDE w:val="0"/>
        <w:autoSpaceDN w:val="0"/>
        <w:adjustRightInd w:val="0"/>
        <w:spacing w:line="360" w:lineRule="auto"/>
        <w:jc w:val="left"/>
        <w:textAlignment w:val="baseline"/>
        <w:rPr>
          <w:rFonts w:ascii="宋体" w:hAnsi="宋体" w:cs="宋体"/>
          <w:kern w:val="0"/>
          <w:sz w:val="24"/>
        </w:rPr>
      </w:pP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致：浙江广厦建设职业技术大学</w:t>
      </w:r>
    </w:p>
    <w:p>
      <w:pPr>
        <w:widowControl/>
        <w:wordWrap w:val="0"/>
        <w:overflowPunct w:val="0"/>
        <w:autoSpaceDE w:val="0"/>
        <w:autoSpaceDN w:val="0"/>
        <w:adjustRightInd w:val="0"/>
        <w:spacing w:line="360" w:lineRule="auto"/>
        <w:ind w:firstLine="540" w:firstLineChars="225"/>
        <w:jc w:val="left"/>
        <w:textAlignment w:val="baseline"/>
        <w:rPr>
          <w:rFonts w:ascii="宋体" w:hAnsi="宋体" w:cs="宋体"/>
          <w:kern w:val="0"/>
          <w:sz w:val="24"/>
        </w:rPr>
      </w:pPr>
      <w:r>
        <w:rPr>
          <w:rFonts w:hint="eastAsia" w:ascii="宋体" w:hAnsi="宋体" w:cs="宋体"/>
          <w:kern w:val="0"/>
          <w:sz w:val="24"/>
        </w:rPr>
        <w:t>根据贵方为</w:t>
      </w:r>
      <w:r>
        <w:rPr>
          <w:rFonts w:hint="eastAsia" w:ascii="宋体" w:hAnsi="宋体" w:cs="宋体"/>
          <w:kern w:val="0"/>
          <w:sz w:val="24"/>
          <w:u w:val="single"/>
        </w:rPr>
        <w:t xml:space="preserve">                </w:t>
      </w:r>
      <w:r>
        <w:rPr>
          <w:rFonts w:hint="eastAsia" w:ascii="宋体" w:hAnsi="宋体" w:cs="宋体"/>
          <w:kern w:val="0"/>
          <w:sz w:val="24"/>
        </w:rPr>
        <w:t>项目的投标邀请</w:t>
      </w:r>
      <w:r>
        <w:rPr>
          <w:rFonts w:hint="eastAsia" w:ascii="宋体" w:hAnsi="宋体" w:cs="宋体"/>
          <w:kern w:val="0"/>
          <w:sz w:val="24"/>
          <w:u w:val="single"/>
        </w:rPr>
        <w:t xml:space="preserve">             </w:t>
      </w:r>
      <w:r>
        <w:rPr>
          <w:rFonts w:hint="eastAsia" w:ascii="宋体" w:hAnsi="宋体" w:cs="宋体"/>
          <w:kern w:val="0"/>
          <w:sz w:val="24"/>
        </w:rPr>
        <w:t>(采购编号)，签字代表_____________________(全名、职务) 经正式授权并代表</w:t>
      </w:r>
      <w:r>
        <w:rPr>
          <w:rFonts w:hint="eastAsia" w:ascii="宋体" w:hAnsi="宋体" w:cs="宋体"/>
          <w:sz w:val="24"/>
        </w:rPr>
        <w:t>谈判响应方</w:t>
      </w:r>
      <w:r>
        <w:rPr>
          <w:rFonts w:hint="eastAsia" w:ascii="宋体" w:hAnsi="宋体" w:cs="宋体"/>
          <w:kern w:val="0"/>
          <w:sz w:val="24"/>
        </w:rPr>
        <w:t>______________________________ (</w:t>
      </w:r>
      <w:r>
        <w:rPr>
          <w:rFonts w:hint="eastAsia" w:ascii="宋体" w:hAnsi="宋体" w:cs="宋体"/>
          <w:sz w:val="24"/>
        </w:rPr>
        <w:t>谈判响应方</w:t>
      </w:r>
      <w:r>
        <w:rPr>
          <w:rFonts w:hint="eastAsia" w:ascii="宋体" w:hAnsi="宋体" w:cs="宋体"/>
          <w:kern w:val="0"/>
          <w:sz w:val="24"/>
        </w:rPr>
        <w:t>名称、地址)。</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据此函，签字代表宣布同意如下：</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1．所附谈判报价表中规定的应提供和支付的服务投标总价（第一次报价</w:t>
      </w:r>
      <w:r>
        <w:rPr>
          <w:rFonts w:hint="eastAsia" w:ascii="宋体" w:hAnsi="宋体" w:cs="宋体"/>
          <w:b/>
          <w:kern w:val="0"/>
          <w:sz w:val="24"/>
        </w:rPr>
        <w:t>）</w:t>
      </w:r>
      <w:r>
        <w:rPr>
          <w:rFonts w:hint="eastAsia" w:ascii="宋体" w:hAnsi="宋体" w:cs="宋体"/>
          <w:kern w:val="0"/>
          <w:sz w:val="24"/>
        </w:rPr>
        <w:t>为(注明币种)</w:t>
      </w:r>
      <w:r>
        <w:rPr>
          <w:rFonts w:hint="eastAsia" w:ascii="宋体" w:hAnsi="宋体" w:cs="宋体"/>
          <w:kern w:val="0"/>
          <w:sz w:val="24"/>
          <w:u w:val="single"/>
        </w:rPr>
        <w:t xml:space="preserve">          </w:t>
      </w:r>
      <w:r>
        <w:rPr>
          <w:rFonts w:hint="eastAsia" w:ascii="宋体" w:hAnsi="宋体" w:cs="宋体"/>
          <w:kern w:val="0"/>
          <w:sz w:val="24"/>
        </w:rPr>
        <w:t>，即(大写)</w:t>
      </w:r>
      <w:r>
        <w:rPr>
          <w:rFonts w:hint="eastAsia" w:ascii="宋体" w:hAnsi="宋体" w:cs="宋体"/>
          <w:kern w:val="0"/>
          <w:sz w:val="24"/>
          <w:u w:val="single"/>
        </w:rPr>
        <w:t xml:space="preserve">                    　　　　   </w:t>
      </w:r>
      <w:r>
        <w:rPr>
          <w:rFonts w:hint="eastAsia" w:ascii="宋体" w:hAnsi="宋体" w:cs="宋体"/>
          <w:kern w:val="0"/>
          <w:sz w:val="24"/>
        </w:rPr>
        <w:t>。</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w:t>
      </w:r>
      <w:r>
        <w:rPr>
          <w:rFonts w:hint="eastAsia" w:ascii="宋体" w:hAnsi="宋体" w:cs="宋体"/>
          <w:sz w:val="24"/>
        </w:rPr>
        <w:t>谈判响应方</w:t>
      </w:r>
      <w:r>
        <w:rPr>
          <w:rFonts w:hint="eastAsia" w:ascii="宋体" w:hAnsi="宋体" w:cs="宋体"/>
          <w:kern w:val="0"/>
          <w:sz w:val="24"/>
        </w:rPr>
        <w:t>已详细审查全部招标文件，我们完全理解并同意放弃对这方面有不明及误解的权利。</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3．我方将按招标文件规定履行合同责任和义务。</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4．其投标自开标日起有效期</w:t>
      </w:r>
      <w:r>
        <w:rPr>
          <w:rFonts w:hint="eastAsia" w:ascii="宋体" w:hAnsi="宋体" w:cs="宋体"/>
          <w:kern w:val="0"/>
          <w:sz w:val="24"/>
          <w:u w:val="single"/>
        </w:rPr>
        <w:t xml:space="preserve"> 60 </w:t>
      </w:r>
      <w:r>
        <w:rPr>
          <w:rFonts w:hint="eastAsia" w:ascii="宋体" w:hAnsi="宋体" w:cs="宋体"/>
          <w:kern w:val="0"/>
          <w:sz w:val="24"/>
        </w:rPr>
        <w:t>天。</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5．如果在规定的开标时间后，我方在投标有效期内撤回投标或放弃中标的，加入政府采购黑名单。</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6．我方同意提供按照贵方可能要求的与其投标有关的一切数据或资料，理解贵方不一定要接受最低价的投标或收到的任何投标。</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7．与本投标有关的一切正式往来通讯请寄：</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地址：______________________邮编：______________________                </w:t>
      </w:r>
    </w:p>
    <w:p>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hint="eastAsia" w:ascii="宋体" w:hAnsi="宋体" w:cs="宋体"/>
          <w:kern w:val="0"/>
          <w:sz w:val="24"/>
        </w:rPr>
        <w:t xml:space="preserve">电话：______________________传真：______________________     </w:t>
      </w:r>
    </w:p>
    <w:p>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hint="eastAsia" w:ascii="宋体" w:hAnsi="宋体" w:cs="宋体"/>
          <w:kern w:val="0"/>
          <w:sz w:val="24"/>
        </w:rPr>
        <w:t xml:space="preserve">           </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谈判响应方</w:t>
      </w:r>
      <w:r>
        <w:rPr>
          <w:rFonts w:hint="eastAsia" w:ascii="宋体" w:hAnsi="宋体" w:cs="宋体"/>
          <w:kern w:val="0"/>
          <w:sz w:val="24"/>
        </w:rPr>
        <w:t>名称: ___________</w:t>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t>________________ (公章)</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谈判响应方</w:t>
      </w:r>
      <w:r>
        <w:rPr>
          <w:rFonts w:hint="eastAsia" w:ascii="宋体" w:hAnsi="宋体" w:cs="宋体"/>
          <w:kern w:val="0"/>
          <w:sz w:val="24"/>
        </w:rPr>
        <w:t>代表姓名、职务: ______________________</w:t>
      </w:r>
    </w:p>
    <w:p>
      <w:pPr>
        <w:spacing w:line="360" w:lineRule="auto"/>
        <w:ind w:firstLine="475" w:firstLineChars="198"/>
        <w:rPr>
          <w:rFonts w:ascii="宋体" w:hAnsi="宋体" w:cs="宋体"/>
          <w:sz w:val="24"/>
        </w:rPr>
      </w:pPr>
      <w:r>
        <w:rPr>
          <w:rFonts w:hint="eastAsia" w:ascii="宋体" w:hAnsi="宋体" w:cs="宋体"/>
          <w:sz w:val="24"/>
        </w:rPr>
        <w:t>谈判响应日期: _______年____月____日  委托代理人签字: ________</w:t>
      </w:r>
      <w:r>
        <w:rPr>
          <w:rFonts w:hint="eastAsia" w:ascii="宋体" w:hAnsi="宋体" w:cs="宋体"/>
          <w:sz w:val="24"/>
        </w:rPr>
        <w:softHyphen/>
      </w:r>
      <w:r>
        <w:rPr>
          <w:rFonts w:hint="eastAsia" w:ascii="宋体" w:hAnsi="宋体" w:cs="宋体"/>
          <w:sz w:val="24"/>
        </w:rPr>
        <w:t>__</w:t>
      </w:r>
    </w:p>
    <w:p>
      <w:pPr>
        <w:spacing w:line="360" w:lineRule="auto"/>
        <w:rPr>
          <w:rFonts w:ascii="宋体" w:hAnsi="宋体" w:cs="宋体"/>
          <w:b/>
          <w:bCs/>
          <w:sz w:val="24"/>
        </w:rPr>
      </w:pPr>
    </w:p>
    <w:p>
      <w:pPr>
        <w:jc w:val="center"/>
        <w:rPr>
          <w:rFonts w:ascii="宋体" w:hAnsi="宋体" w:cs="宋体"/>
          <w:b/>
          <w:bCs/>
          <w:sz w:val="24"/>
        </w:rPr>
      </w:pPr>
    </w:p>
    <w:p>
      <w:pPr>
        <w:keepNext/>
        <w:keepLines/>
        <w:pageBreakBefore/>
        <w:spacing w:before="260" w:after="260" w:line="416" w:lineRule="auto"/>
        <w:outlineLvl w:val="1"/>
        <w:rPr>
          <w:rFonts w:ascii="宋体" w:hAnsi="宋体" w:cs="宋体"/>
          <w:sz w:val="24"/>
          <w:szCs w:val="32"/>
        </w:rPr>
      </w:pPr>
      <w:bookmarkStart w:id="16" w:name="_Toc24222"/>
      <w:bookmarkStart w:id="17" w:name="_Toc11424"/>
      <w:r>
        <w:rPr>
          <w:rFonts w:hint="eastAsia" w:ascii="宋体" w:hAnsi="宋体" w:cs="宋体"/>
          <w:bCs/>
          <w:sz w:val="24"/>
          <w:szCs w:val="32"/>
        </w:rPr>
        <w:t>附件</w:t>
      </w:r>
      <w:r>
        <w:rPr>
          <w:rFonts w:hint="eastAsia" w:ascii="宋体" w:hAnsi="宋体" w:cs="宋体"/>
          <w:kern w:val="0"/>
          <w:sz w:val="24"/>
        </w:rPr>
        <w:t>二</w:t>
      </w:r>
      <w:r>
        <w:rPr>
          <w:rFonts w:hint="eastAsia" w:ascii="宋体" w:hAnsi="宋体" w:cs="宋体"/>
          <w:bCs/>
          <w:sz w:val="24"/>
          <w:szCs w:val="32"/>
        </w:rPr>
        <w:t>：初次报价表</w:t>
      </w:r>
      <w:bookmarkEnd w:id="16"/>
      <w:bookmarkEnd w:id="17"/>
    </w:p>
    <w:p>
      <w:pPr>
        <w:snapToGrid w:val="0"/>
        <w:spacing w:before="50" w:after="50" w:line="360" w:lineRule="auto"/>
        <w:jc w:val="center"/>
        <w:rPr>
          <w:rFonts w:ascii="宋体" w:hAnsi="宋体" w:cs="宋体"/>
          <w:b/>
          <w:sz w:val="32"/>
          <w:szCs w:val="32"/>
        </w:rPr>
      </w:pPr>
      <w:r>
        <w:rPr>
          <w:rFonts w:hint="eastAsia" w:ascii="宋体" w:hAnsi="宋体" w:cs="宋体"/>
          <w:b/>
          <w:sz w:val="32"/>
          <w:szCs w:val="32"/>
        </w:rPr>
        <w:t>初次报价表</w:t>
      </w:r>
    </w:p>
    <w:p>
      <w:pPr>
        <w:snapToGrid w:val="0"/>
        <w:spacing w:before="50" w:after="50"/>
      </w:pPr>
      <w:r>
        <w:rPr>
          <w:rFonts w:hint="eastAsia" w:ascii="宋体" w:hAnsi="宋体" w:cs="宋体"/>
          <w:sz w:val="24"/>
        </w:rPr>
        <w:t>谈判编号：</w:t>
      </w:r>
      <w:r>
        <w:rPr>
          <w:rFonts w:hint="eastAsia" w:ascii="宋体" w:hAnsi="宋体" w:cs="宋体"/>
          <w:sz w:val="24"/>
          <w:u w:val="single"/>
        </w:rPr>
        <w:t xml:space="preserve">               </w:t>
      </w:r>
      <w:r>
        <w:rPr>
          <w:rFonts w:hint="eastAsia" w:ascii="宋体" w:hAnsi="宋体" w:cs="宋体"/>
          <w:sz w:val="24"/>
        </w:rPr>
        <w:t>谈判响应方名称：</w:t>
      </w:r>
      <w:r>
        <w:rPr>
          <w:rFonts w:hint="eastAsia" w:ascii="宋体" w:hAnsi="宋体" w:cs="宋体"/>
          <w:sz w:val="24"/>
          <w:u w:val="single"/>
        </w:rPr>
        <w:t xml:space="preserve">                   </w:t>
      </w:r>
      <w:r>
        <w:rPr>
          <w:rFonts w:hint="eastAsia" w:ascii="宋体" w:hAnsi="宋体" w:cs="宋体"/>
          <w:sz w:val="24"/>
        </w:rPr>
        <w:t xml:space="preserve">  单位：元</w:t>
      </w:r>
    </w:p>
    <w:p>
      <w:pPr>
        <w:pStyle w:val="44"/>
        <w:snapToGrid w:val="0"/>
        <w:spacing w:line="240" w:lineRule="auto"/>
        <w:jc w:val="center"/>
        <w:outlineLvl w:val="0"/>
        <w:rPr>
          <w:rFonts w:ascii="黑体" w:hAnsi="黑体" w:eastAsia="黑体"/>
          <w:color w:val="000000" w:themeColor="text1"/>
          <w:sz w:val="30"/>
          <w:szCs w:val="30"/>
          <w14:textFill>
            <w14:solidFill>
              <w14:schemeClr w14:val="tx1"/>
            </w14:solidFill>
          </w14:textFill>
        </w:rPr>
      </w:pPr>
    </w:p>
    <w:tbl>
      <w:tblPr>
        <w:tblStyle w:val="21"/>
        <w:tblW w:w="87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6"/>
        <w:gridCol w:w="2130"/>
        <w:gridCol w:w="2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3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项目名称</w:t>
            </w:r>
          </w:p>
        </w:tc>
        <w:tc>
          <w:tcPr>
            <w:tcW w:w="21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b/>
                <w:color w:val="000000"/>
                <w:sz w:val="24"/>
                <w:lang w:eastAsia="zh-CN"/>
              </w:rPr>
            </w:pPr>
            <w:r>
              <w:rPr>
                <w:rFonts w:hint="eastAsia" w:ascii="宋体" w:hAnsi="宋体"/>
                <w:b/>
                <w:color w:val="000000"/>
                <w:sz w:val="24"/>
                <w:lang w:eastAsia="zh-CN"/>
              </w:rPr>
              <w:t>暂定数量</w:t>
            </w:r>
          </w:p>
        </w:tc>
        <w:tc>
          <w:tcPr>
            <w:tcW w:w="23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 w:val="24"/>
              </w:rPr>
            </w:pPr>
            <w:r>
              <w:rPr>
                <w:rFonts w:hint="eastAsia" w:ascii="宋体" w:hAnsi="宋体"/>
                <w:b/>
                <w:sz w:val="24"/>
              </w:rPr>
              <w:t>谈判报</w:t>
            </w:r>
            <w:r>
              <w:rPr>
                <w:rFonts w:hint="eastAsia" w:ascii="宋体" w:hAnsi="宋体"/>
                <w:b/>
                <w:color w:val="000000"/>
                <w:sz w:val="24"/>
              </w:rPr>
              <w:t>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4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lang w:eastAsia="zh-CN"/>
              </w:rPr>
            </w:pPr>
            <w:r>
              <w:rPr>
                <w:rFonts w:hint="eastAsia" w:cs="宋体"/>
                <w:b/>
                <w:bCs/>
                <w:color w:val="000000" w:themeColor="text1"/>
                <w:sz w:val="30"/>
                <w:szCs w:val="30"/>
                <w:lang w:eastAsia="zh-CN"/>
                <w14:textFill>
                  <w14:solidFill>
                    <w14:schemeClr w14:val="tx1"/>
                  </w14:solidFill>
                </w14:textFill>
              </w:rPr>
              <w:t>无线耳机采购项目</w:t>
            </w:r>
          </w:p>
        </w:tc>
        <w:tc>
          <w:tcPr>
            <w:tcW w:w="21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b/>
                <w:color w:val="000000"/>
                <w:sz w:val="24"/>
                <w:lang w:val="en-US" w:eastAsia="zh-CN"/>
              </w:rPr>
            </w:pPr>
            <w:r>
              <w:rPr>
                <w:rFonts w:hint="eastAsia" w:ascii="宋体" w:hAnsi="宋体"/>
                <w:b/>
                <w:color w:val="000000"/>
                <w:sz w:val="24"/>
                <w:lang w:val="en-US" w:eastAsia="zh-CN"/>
              </w:rPr>
              <w:t>4500</w:t>
            </w:r>
          </w:p>
        </w:tc>
        <w:tc>
          <w:tcPr>
            <w:tcW w:w="23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b/>
                <w:color w:val="000000"/>
                <w:sz w:val="24"/>
                <w:lang w:val="en-US" w:eastAsia="zh-CN"/>
              </w:rPr>
            </w:pPr>
            <w:r>
              <w:rPr>
                <w:rFonts w:hint="eastAsia" w:ascii="宋体" w:hAnsi="宋体"/>
                <w:b/>
                <w:color w:val="000000"/>
                <w:sz w:val="24"/>
                <w:lang w:val="en-US" w:eastAsia="zh-CN"/>
              </w:rPr>
              <w:t xml:space="preserve">        </w:t>
            </w:r>
            <w:r>
              <w:rPr>
                <w:rFonts w:hint="eastAsia" w:ascii="宋体" w:hAnsi="宋体"/>
                <w:b/>
                <w:color w:val="000000"/>
                <w:sz w:val="24"/>
                <w:lang w:eastAsia="zh-CN"/>
              </w:rPr>
              <w:t>元</w:t>
            </w:r>
            <w:r>
              <w:rPr>
                <w:rFonts w:hint="eastAsia" w:ascii="宋体" w:hAnsi="宋体"/>
                <w:b/>
                <w:color w:val="000000"/>
                <w:sz w:val="24"/>
                <w:lang w:val="en-US" w:eastAsia="zh-CN"/>
              </w:rPr>
              <w:t>/只</w:t>
            </w:r>
          </w:p>
        </w:tc>
      </w:tr>
    </w:tbl>
    <w:p>
      <w:pPr>
        <w:snapToGrid w:val="0"/>
        <w:spacing w:before="50" w:after="50"/>
        <w:rPr>
          <w:rFonts w:ascii="宋体" w:hAnsi="宋体"/>
          <w:color w:val="000000"/>
          <w:sz w:val="24"/>
          <w:szCs w:val="20"/>
        </w:rPr>
      </w:pPr>
    </w:p>
    <w:p>
      <w:pPr>
        <w:snapToGrid w:val="0"/>
        <w:spacing w:before="50" w:after="50" w:line="360" w:lineRule="auto"/>
        <w:jc w:val="left"/>
        <w:rPr>
          <w:rFonts w:ascii="宋体" w:hAnsi="宋体" w:cs="宋体"/>
          <w:sz w:val="24"/>
        </w:rPr>
      </w:pPr>
      <w:r>
        <w:rPr>
          <w:rFonts w:hint="eastAsia" w:ascii="宋体" w:hAnsi="宋体" w:cs="宋体"/>
          <w:sz w:val="24"/>
        </w:rPr>
        <w:t xml:space="preserve">注: </w:t>
      </w:r>
    </w:p>
    <w:p>
      <w:pPr>
        <w:snapToGrid w:val="0"/>
        <w:spacing w:before="50" w:after="50" w:line="360" w:lineRule="auto"/>
        <w:ind w:firstLine="480" w:firstLineChars="200"/>
        <w:jc w:val="left"/>
        <w:rPr>
          <w:rFonts w:ascii="宋体" w:hAnsi="宋体" w:cs="宋体"/>
          <w:sz w:val="24"/>
          <w:szCs w:val="20"/>
        </w:rPr>
      </w:pPr>
      <w:r>
        <w:rPr>
          <w:rFonts w:hint="eastAsia" w:ascii="宋体" w:hAnsi="宋体" w:cs="宋体"/>
          <w:sz w:val="24"/>
        </w:rPr>
        <w:t>1、报价一经涂改，应在涂改处加盖单位公章或者由法定代表人或授权委托人签字或盖章，否则其谈判作无效谈判处理。</w:t>
      </w:r>
    </w:p>
    <w:p>
      <w:pPr>
        <w:spacing w:line="360" w:lineRule="auto"/>
        <w:ind w:firstLine="480" w:firstLineChars="200"/>
        <w:rPr>
          <w:rFonts w:ascii="宋体" w:hAnsi="宋体" w:cs="宋体"/>
          <w:sz w:val="24"/>
        </w:rPr>
      </w:pPr>
      <w:r>
        <w:rPr>
          <w:rFonts w:hint="eastAsia" w:ascii="宋体" w:hAnsi="宋体" w:cs="宋体"/>
          <w:sz w:val="24"/>
        </w:rPr>
        <w:t>2、谈判报价是履行合同的最终价格，应包含完成本项目合同内容所涉及的全部费用，包含但不仅限于所需设计、开发、优化、安装、平台对接、上线调试、试运行管理、技术培训、验收配合、第三方检测（如需）、售后服务以及完成采购需求所涉及的其他一切内容所需的全部费用，以及税金、人工费、管理费、合理利润、风险费、投标费用等一切成本及费用。</w:t>
      </w:r>
    </w:p>
    <w:p>
      <w:pPr>
        <w:snapToGrid w:val="0"/>
        <w:spacing w:before="50" w:after="50" w:line="360" w:lineRule="auto"/>
        <w:ind w:right="-817" w:rightChars="-389" w:firstLine="480" w:firstLineChars="200"/>
        <w:rPr>
          <w:rFonts w:ascii="宋体" w:hAnsi="宋体" w:cs="宋体"/>
          <w:sz w:val="24"/>
        </w:rPr>
      </w:pPr>
      <w:r>
        <w:rPr>
          <w:rFonts w:ascii="宋体" w:hAnsi="宋体" w:cs="宋体"/>
          <w:sz w:val="24"/>
        </w:rPr>
        <w:t>3</w:t>
      </w:r>
      <w:r>
        <w:rPr>
          <w:rFonts w:hint="eastAsia" w:ascii="宋体" w:hAnsi="宋体" w:cs="宋体"/>
          <w:sz w:val="24"/>
        </w:rPr>
        <w:t>、本表格式不允许修改，否则作无效谈判处理。</w:t>
      </w:r>
    </w:p>
    <w:p>
      <w:pPr>
        <w:snapToGrid w:val="0"/>
        <w:spacing w:before="50" w:after="50" w:line="360" w:lineRule="auto"/>
        <w:ind w:left="-3" w:leftChars="-72" w:right="-817" w:rightChars="-389" w:hanging="148" w:hangingChars="62"/>
        <w:rPr>
          <w:rFonts w:ascii="宋体" w:hAnsi="宋体" w:cs="宋体"/>
          <w:sz w:val="24"/>
        </w:rPr>
      </w:pPr>
      <w:r>
        <w:rPr>
          <w:rFonts w:hint="eastAsia" w:ascii="宋体" w:hAnsi="宋体" w:cs="宋体"/>
          <w:sz w:val="24"/>
        </w:rPr>
        <w:t xml:space="preserve">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法定代表人或委托代理人（签字或盖章）：</w:t>
      </w:r>
    </w:p>
    <w:p>
      <w:pPr>
        <w:snapToGrid w:val="0"/>
        <w:spacing w:before="50" w:after="50" w:line="360" w:lineRule="auto"/>
        <w:ind w:left="-3" w:leftChars="-72" w:right="-817" w:rightChars="-389" w:hanging="148" w:hangingChars="62"/>
        <w:rPr>
          <w:rFonts w:ascii="宋体" w:hAnsi="宋体" w:cs="宋体"/>
          <w:sz w:val="24"/>
          <w:szCs w:val="20"/>
        </w:rPr>
      </w:pPr>
      <w:r>
        <w:rPr>
          <w:rFonts w:hint="eastAsia" w:ascii="宋体" w:hAnsi="宋体" w:cs="宋体"/>
          <w:sz w:val="24"/>
        </w:rPr>
        <w:t xml:space="preserve">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 xml:space="preserve">谈判响应方名称（盖章）：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 xml:space="preserve">                                        </w:t>
      </w:r>
    </w:p>
    <w:p>
      <w:pPr>
        <w:snapToGrid w:val="0"/>
        <w:spacing w:before="50" w:after="50"/>
        <w:ind w:left="-2" w:leftChars="-1" w:right="-817" w:rightChars="-389" w:firstLine="4920" w:firstLineChars="2050"/>
        <w:rPr>
          <w:rFonts w:ascii="宋体" w:hAnsi="宋体" w:cs="宋体"/>
          <w:sz w:val="24"/>
        </w:rPr>
      </w:pPr>
    </w:p>
    <w:p>
      <w:pPr>
        <w:snapToGrid w:val="0"/>
        <w:spacing w:before="50" w:after="50"/>
        <w:ind w:left="-2" w:leftChars="-1" w:right="-817" w:rightChars="-389" w:firstLine="4920" w:firstLineChars="2050"/>
        <w:rPr>
          <w:rFonts w:ascii="宋体" w:hAnsi="宋体" w:cs="宋体"/>
          <w:sz w:val="24"/>
        </w:rPr>
      </w:pPr>
      <w:r>
        <w:rPr>
          <w:rFonts w:hint="eastAsia" w:ascii="宋体" w:hAnsi="宋体" w:cs="宋体"/>
          <w:sz w:val="24"/>
        </w:rPr>
        <w:t>日期：    年   月   日</w:t>
      </w:r>
    </w:p>
    <w:p>
      <w:pPr>
        <w:pStyle w:val="3"/>
        <w:rPr>
          <w:rFonts w:ascii="宋体" w:hAnsi="宋体" w:cs="宋体"/>
          <w:sz w:val="24"/>
        </w:rPr>
      </w:pPr>
    </w:p>
    <w:p>
      <w:pPr>
        <w:pageBreakBefore/>
        <w:spacing w:before="260" w:after="260" w:line="415" w:lineRule="auto"/>
        <w:outlineLvl w:val="1"/>
        <w:rPr>
          <w:rFonts w:ascii="宋体" w:hAnsi="宋体" w:cs="宋体"/>
          <w:bCs/>
          <w:sz w:val="24"/>
          <w:szCs w:val="32"/>
        </w:rPr>
      </w:pPr>
      <w:bookmarkStart w:id="18" w:name="_Toc2511"/>
      <w:bookmarkStart w:id="19" w:name="_Toc14232"/>
      <w:r>
        <w:rPr>
          <w:rFonts w:hint="eastAsia" w:ascii="宋体" w:hAnsi="宋体" w:cs="宋体"/>
          <w:bCs/>
          <w:sz w:val="24"/>
          <w:szCs w:val="32"/>
        </w:rPr>
        <w:t>附件三：法定代表人授权书</w:t>
      </w:r>
      <w:bookmarkEnd w:id="18"/>
      <w:bookmarkEnd w:id="19"/>
    </w:p>
    <w:p>
      <w:pPr>
        <w:jc w:val="center"/>
        <w:rPr>
          <w:rFonts w:ascii="宋体" w:hAnsi="宋体" w:cs="宋体"/>
          <w:b/>
          <w:bCs/>
          <w:sz w:val="36"/>
          <w:szCs w:val="36"/>
        </w:rPr>
      </w:pPr>
      <w:r>
        <w:rPr>
          <w:rFonts w:hint="eastAsia" w:ascii="宋体" w:hAnsi="宋体" w:cs="宋体"/>
          <w:b/>
          <w:bCs/>
          <w:sz w:val="36"/>
          <w:szCs w:val="36"/>
        </w:rPr>
        <w:t>法定代表人授权书</w:t>
      </w:r>
    </w:p>
    <w:p>
      <w:pPr>
        <w:snapToGrid w:val="0"/>
        <w:spacing w:before="156" w:beforeLines="50" w:after="50"/>
        <w:rPr>
          <w:rFonts w:ascii="宋体" w:hAnsi="宋体" w:cs="宋体"/>
          <w:b/>
          <w:bCs/>
          <w:sz w:val="24"/>
          <w:szCs w:val="20"/>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sz w:val="24"/>
        </w:rPr>
        <w:t>（招标采购单位名称）：</w:t>
      </w:r>
    </w:p>
    <w:p>
      <w:pPr>
        <w:snapToGrid w:val="0"/>
        <w:spacing w:before="156" w:beforeLines="50" w:after="50"/>
        <w:ind w:firstLine="720" w:firstLineChars="300"/>
        <w:rPr>
          <w:rFonts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（谈判响应方名称）的法定代表人，现授权委托本单位在职职工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pPr>
        <w:snapToGrid w:val="0"/>
        <w:spacing w:before="156" w:beforeLines="50" w:after="50"/>
        <w:rPr>
          <w:rFonts w:ascii="宋体" w:hAnsi="宋体" w:cs="宋体"/>
          <w:sz w:val="24"/>
          <w:szCs w:val="20"/>
        </w:rPr>
      </w:pPr>
      <w:r>
        <w:rPr>
          <w:rFonts w:hint="eastAsia" w:ascii="宋体" w:hAnsi="宋体" w:cs="宋体"/>
          <w:sz w:val="24"/>
        </w:rPr>
        <w:t xml:space="preserve">    我方对委托代理人的签名事项负全部责任。</w:t>
      </w:r>
    </w:p>
    <w:p>
      <w:pPr>
        <w:snapToGrid w:val="0"/>
        <w:spacing w:before="156" w:beforeLines="50" w:after="50"/>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委托代理人在授权书有效期内签署的所有文件不因授权的撤销而失效。</w:t>
      </w:r>
    </w:p>
    <w:p>
      <w:pPr>
        <w:snapToGrid w:val="0"/>
        <w:spacing w:before="156" w:beforeLines="50" w:after="50"/>
        <w:ind w:firstLine="480"/>
        <w:rPr>
          <w:rFonts w:ascii="宋体" w:hAnsi="宋体" w:cs="宋体"/>
          <w:sz w:val="24"/>
          <w:szCs w:val="20"/>
        </w:rPr>
      </w:pPr>
      <w:r>
        <w:rPr>
          <w:rFonts w:hint="eastAsia" w:ascii="宋体" w:hAnsi="宋体" w:cs="宋体"/>
          <w:sz w:val="24"/>
        </w:rPr>
        <w:t>委托代理人无转委托权，特此委托。</w:t>
      </w:r>
    </w:p>
    <w:p>
      <w:pPr>
        <w:snapToGrid w:val="0"/>
        <w:spacing w:before="156" w:beforeLines="50" w:after="50"/>
        <w:rPr>
          <w:rFonts w:ascii="宋体" w:hAnsi="宋体" w:cs="宋体"/>
          <w:sz w:val="24"/>
          <w:szCs w:val="20"/>
          <w:u w:val="single"/>
        </w:rPr>
      </w:pPr>
      <w:r>
        <w:rPr>
          <w:rFonts w:hint="eastAsia" w:ascii="宋体" w:hAnsi="宋体" w:cs="宋体"/>
          <w:sz w:val="24"/>
        </w:rPr>
        <w:t>委托代理人签名：</w:t>
      </w:r>
      <w:r>
        <w:rPr>
          <w:rFonts w:hint="eastAsia" w:ascii="宋体" w:hAnsi="宋体" w:cs="宋体"/>
          <w:sz w:val="24"/>
          <w:u w:val="single"/>
        </w:rPr>
        <w:t xml:space="preserve">          </w:t>
      </w:r>
      <w:r>
        <w:rPr>
          <w:rFonts w:hint="eastAsia" w:ascii="宋体" w:hAnsi="宋体" w:cs="宋体"/>
          <w:sz w:val="24"/>
        </w:rPr>
        <w:t xml:space="preserve">                 法定代表人（签字或盖章）：</w:t>
      </w:r>
      <w:r>
        <w:rPr>
          <w:rFonts w:hint="eastAsia" w:ascii="宋体" w:hAnsi="宋体" w:cs="宋体"/>
          <w:sz w:val="24"/>
          <w:u w:val="single"/>
        </w:rPr>
        <w:t xml:space="preserve">          </w:t>
      </w:r>
    </w:p>
    <w:p>
      <w:pPr>
        <w:snapToGrid w:val="0"/>
        <w:spacing w:before="156" w:beforeLines="50" w:after="50"/>
        <w:ind w:firstLine="960" w:firstLineChars="400"/>
        <w:rPr>
          <w:rFonts w:ascii="宋体" w:hAnsi="宋体" w:cs="宋体"/>
          <w:sz w:val="24"/>
          <w:szCs w:val="20"/>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before="156" w:beforeLines="50" w:after="50"/>
        <w:rPr>
          <w:rFonts w:ascii="宋体" w:hAnsi="宋体" w:cs="宋体"/>
          <w:sz w:val="24"/>
        </w:rPr>
      </w:pPr>
      <w:r>
        <w:rPr>
          <w:rFonts w:hint="eastAsia" w:ascii="宋体" w:hAnsi="宋体" w:cs="宋体"/>
          <w:sz w:val="24"/>
        </w:rPr>
        <w:t>委托代理人身份证复印件（正反双面）：</w:t>
      </w:r>
    </w:p>
    <w:tbl>
      <w:tblPr>
        <w:tblStyle w:val="21"/>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9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345" w:hRule="atLeast"/>
        </w:trPr>
        <w:tc>
          <w:tcPr>
            <w:tcW w:w="5298" w:type="dxa"/>
          </w:tcPr>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jc w:val="center"/>
              <w:rPr>
                <w:rFonts w:ascii="宋体" w:hAnsi="宋体" w:cs="宋体"/>
                <w:sz w:val="48"/>
                <w:szCs w:val="48"/>
              </w:rPr>
            </w:pPr>
            <w:r>
              <w:rPr>
                <w:rFonts w:hint="eastAsia" w:ascii="宋体" w:hAnsi="宋体" w:cs="宋体"/>
                <w:sz w:val="48"/>
                <w:szCs w:val="48"/>
              </w:rPr>
              <w:t>粘</w:t>
            </w:r>
          </w:p>
          <w:p>
            <w:pPr>
              <w:snapToGrid w:val="0"/>
              <w:spacing w:before="156" w:beforeLines="50" w:after="50"/>
              <w:jc w:val="center"/>
              <w:rPr>
                <w:rFonts w:ascii="宋体" w:hAnsi="宋体" w:cs="宋体"/>
                <w:sz w:val="48"/>
                <w:szCs w:val="48"/>
              </w:rPr>
            </w:pPr>
          </w:p>
          <w:p>
            <w:pPr>
              <w:snapToGrid w:val="0"/>
              <w:spacing w:before="156" w:beforeLines="50" w:after="50"/>
              <w:jc w:val="center"/>
              <w:rPr>
                <w:rFonts w:ascii="宋体" w:hAnsi="宋体" w:cs="宋体"/>
                <w:sz w:val="48"/>
                <w:szCs w:val="48"/>
              </w:rPr>
            </w:pPr>
            <w:r>
              <w:rPr>
                <w:rFonts w:hint="eastAsia" w:ascii="宋体" w:hAnsi="宋体" w:cs="宋体"/>
                <w:sz w:val="48"/>
                <w:szCs w:val="48"/>
              </w:rPr>
              <w:t>贴</w:t>
            </w:r>
          </w:p>
          <w:p>
            <w:pPr>
              <w:snapToGrid w:val="0"/>
              <w:spacing w:before="156" w:beforeLines="50" w:after="50"/>
              <w:jc w:val="center"/>
              <w:rPr>
                <w:rFonts w:ascii="宋体" w:hAnsi="宋体" w:cs="宋体"/>
                <w:sz w:val="48"/>
                <w:szCs w:val="48"/>
              </w:rPr>
            </w:pPr>
          </w:p>
          <w:p>
            <w:pPr>
              <w:snapToGrid w:val="0"/>
              <w:spacing w:before="156" w:beforeLines="50" w:after="50"/>
              <w:jc w:val="center"/>
              <w:rPr>
                <w:rFonts w:ascii="宋体" w:hAnsi="宋体" w:cs="宋体"/>
                <w:sz w:val="36"/>
                <w:szCs w:val="36"/>
              </w:rPr>
            </w:pPr>
            <w:r>
              <w:rPr>
                <w:rFonts w:hint="eastAsia" w:ascii="宋体" w:hAnsi="宋体" w:cs="宋体"/>
                <w:sz w:val="48"/>
                <w:szCs w:val="48"/>
              </w:rPr>
              <w:t>处</w:t>
            </w:r>
          </w:p>
        </w:tc>
      </w:tr>
    </w:tbl>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r>
        <w:rPr>
          <w:rFonts w:hint="eastAsia" w:ascii="宋体" w:hAnsi="宋体" w:cs="宋体"/>
          <w:sz w:val="24"/>
        </w:rPr>
        <w:t xml:space="preserve"> </w:t>
      </w:r>
    </w:p>
    <w:p>
      <w:pPr>
        <w:snapToGrid w:val="0"/>
        <w:spacing w:before="156" w:beforeLines="50" w:after="50"/>
        <w:rPr>
          <w:rFonts w:ascii="宋体" w:hAnsi="宋体" w:cs="宋体"/>
          <w:sz w:val="24"/>
          <w:szCs w:val="20"/>
        </w:rPr>
      </w:pPr>
    </w:p>
    <w:p>
      <w:pPr>
        <w:snapToGrid w:val="0"/>
        <w:spacing w:before="156" w:beforeLines="50" w:after="50"/>
        <w:rPr>
          <w:rFonts w:ascii="宋体" w:hAnsi="宋体" w:cs="宋体"/>
          <w:sz w:val="24"/>
        </w:rPr>
      </w:pPr>
      <w:r>
        <w:rPr>
          <w:rFonts w:hint="eastAsia" w:ascii="宋体" w:hAnsi="宋体" w:cs="宋体"/>
          <w:sz w:val="24"/>
        </w:rPr>
        <w:t xml:space="preserve">                                                </w:t>
      </w: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ind w:firstLine="600" w:firstLineChars="250"/>
        <w:rPr>
          <w:rFonts w:ascii="宋体" w:hAnsi="宋体" w:cs="宋体"/>
          <w:sz w:val="24"/>
          <w:szCs w:val="20"/>
        </w:rPr>
      </w:pPr>
      <w:r>
        <w:rPr>
          <w:rFonts w:hint="eastAsia" w:ascii="宋体" w:hAnsi="宋体" w:cs="宋体"/>
          <w:sz w:val="24"/>
        </w:rPr>
        <w:t>谈判响应方公章：</w:t>
      </w:r>
    </w:p>
    <w:p>
      <w:pPr>
        <w:snapToGrid w:val="0"/>
        <w:spacing w:before="156" w:beforeLines="50" w:after="50"/>
        <w:jc w:val="center"/>
        <w:rPr>
          <w:rFonts w:ascii="宋体" w:hAnsi="宋体" w:cs="宋体"/>
          <w:sz w:val="24"/>
          <w:szCs w:val="20"/>
        </w:rPr>
      </w:pPr>
      <w:r>
        <w:rPr>
          <w:rFonts w:hint="eastAsia" w:ascii="宋体" w:hAnsi="宋体" w:cs="宋体"/>
          <w:sz w:val="24"/>
        </w:rPr>
        <w:t xml:space="preserve">                                                年    月    日</w:t>
      </w: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rPr>
          <w:rFonts w:ascii="宋体" w:hAnsi="宋体" w:cs="宋体"/>
          <w:b/>
          <w:sz w:val="24"/>
        </w:rPr>
      </w:pPr>
      <w:r>
        <w:rPr>
          <w:rFonts w:hint="eastAsia" w:ascii="宋体" w:hAnsi="宋体" w:cs="宋体"/>
          <w:b/>
          <w:sz w:val="24"/>
        </w:rPr>
        <w:t>*注；此表格格式不得修改。</w:t>
      </w:r>
    </w:p>
    <w:p>
      <w:pPr>
        <w:pStyle w:val="3"/>
        <w:rPr>
          <w:rFonts w:ascii="宋体" w:hAnsi="宋体" w:cs="宋体"/>
          <w:b/>
          <w:sz w:val="24"/>
        </w:rPr>
      </w:pPr>
    </w:p>
    <w:p>
      <w:pPr>
        <w:pageBreakBefore/>
        <w:overflowPunct w:val="0"/>
        <w:autoSpaceDE w:val="0"/>
        <w:autoSpaceDN w:val="0"/>
        <w:adjustRightInd w:val="0"/>
        <w:jc w:val="left"/>
        <w:textAlignment w:val="baseline"/>
        <w:outlineLvl w:val="1"/>
        <w:rPr>
          <w:rFonts w:ascii="宋体" w:hAnsi="宋体" w:cs="宋体"/>
          <w:bCs/>
          <w:kern w:val="0"/>
          <w:sz w:val="24"/>
          <w:szCs w:val="21"/>
        </w:rPr>
      </w:pPr>
      <w:bookmarkStart w:id="20" w:name="_Toc8594"/>
      <w:bookmarkStart w:id="21" w:name="_Toc13816"/>
      <w:bookmarkStart w:id="22" w:name="_Toc4685"/>
      <w:r>
        <w:rPr>
          <w:rFonts w:hint="eastAsia" w:ascii="宋体" w:hAnsi="宋体" w:cs="宋体"/>
          <w:bCs/>
          <w:kern w:val="0"/>
          <w:sz w:val="24"/>
          <w:szCs w:val="21"/>
        </w:rPr>
        <w:t>附件四：</w:t>
      </w:r>
      <w:bookmarkEnd w:id="20"/>
      <w:r>
        <w:rPr>
          <w:rFonts w:hint="eastAsia" w:ascii="宋体" w:hAnsi="宋体" w:cs="宋体"/>
          <w:bCs/>
          <w:kern w:val="0"/>
          <w:sz w:val="24"/>
          <w:szCs w:val="21"/>
        </w:rPr>
        <w:t>诚信承诺书</w:t>
      </w:r>
      <w:bookmarkEnd w:id="21"/>
      <w:bookmarkEnd w:id="22"/>
    </w:p>
    <w:p>
      <w:pPr>
        <w:jc w:val="center"/>
        <w:rPr>
          <w:rFonts w:ascii="宋体" w:hAnsi="宋体" w:cs="宋体"/>
          <w:b/>
          <w:bCs/>
          <w:sz w:val="44"/>
          <w:szCs w:val="44"/>
        </w:rPr>
      </w:pPr>
    </w:p>
    <w:p>
      <w:pPr>
        <w:snapToGrid w:val="0"/>
        <w:spacing w:before="50" w:after="50" w:line="360" w:lineRule="auto"/>
        <w:jc w:val="center"/>
        <w:rPr>
          <w:rFonts w:ascii="宋体" w:hAnsi="宋体"/>
          <w:b/>
          <w:sz w:val="32"/>
          <w:szCs w:val="28"/>
        </w:rPr>
      </w:pPr>
      <w:r>
        <w:rPr>
          <w:rFonts w:hint="eastAsia" w:ascii="宋体" w:hAnsi="宋体"/>
          <w:b/>
          <w:sz w:val="32"/>
          <w:szCs w:val="28"/>
        </w:rPr>
        <w:t>诚信承诺书</w:t>
      </w:r>
    </w:p>
    <w:p>
      <w:pPr>
        <w:spacing w:line="360" w:lineRule="auto"/>
        <w:jc w:val="center"/>
        <w:rPr>
          <w:rFonts w:ascii="宋体" w:hAnsi="宋体"/>
          <w:sz w:val="28"/>
          <w:szCs w:val="28"/>
        </w:rPr>
      </w:pPr>
    </w:p>
    <w:p>
      <w:pPr>
        <w:spacing w:line="360" w:lineRule="auto"/>
        <w:rPr>
          <w:rFonts w:ascii="宋体" w:hAnsi="宋体"/>
          <w:sz w:val="24"/>
        </w:rPr>
      </w:pPr>
      <w:r>
        <w:rPr>
          <w:rFonts w:hint="eastAsia" w:ascii="宋体" w:hAnsi="宋体"/>
          <w:sz w:val="24"/>
          <w:u w:val="single"/>
        </w:rPr>
        <w:t xml:space="preserve">浙江广厦建设职业技术大学  </w:t>
      </w:r>
      <w:r>
        <w:rPr>
          <w:rFonts w:hint="eastAsia" w:ascii="宋体" w:hAnsi="宋体"/>
          <w:sz w:val="24"/>
        </w:rPr>
        <w:t>：</w:t>
      </w:r>
    </w:p>
    <w:p>
      <w:pPr>
        <w:spacing w:line="360" w:lineRule="auto"/>
        <w:ind w:left="479" w:leftChars="228"/>
        <w:rPr>
          <w:rFonts w:ascii="宋体" w:hAnsi="宋体"/>
          <w:sz w:val="24"/>
        </w:rPr>
      </w:pPr>
      <w:r>
        <w:rPr>
          <w:rFonts w:hint="eastAsia" w:ascii="宋体" w:hAnsi="宋体"/>
          <w:sz w:val="24"/>
        </w:rPr>
        <w:t>我方在参加贵单位的（项目编号）＿＿＿＿＿＿（项目名称）＿＿＿＿＿＿项目（标项名称）＿＿＿＿＿ 的招标活动中，郑重承诺如下：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2、我方无资质挂靠情形，保证不参与串通投标、抬高投标价格；</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4、我方参加本项目招标活动前3年内在经营活动中没有重大违法记录；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5、若我方成为成交供应商，将严格按照规定及时与业主签订合同；</w:t>
      </w:r>
    </w:p>
    <w:p>
      <w:pPr>
        <w:spacing w:line="360" w:lineRule="auto"/>
        <w:ind w:firstLine="482" w:firstLineChars="200"/>
        <w:rPr>
          <w:rFonts w:ascii="宋体" w:hAnsi="宋体"/>
          <w:b/>
          <w:bCs/>
          <w:sz w:val="24"/>
        </w:rPr>
      </w:pPr>
      <w:r>
        <w:rPr>
          <w:rFonts w:hint="eastAsia" w:ascii="宋体" w:hAnsi="宋体"/>
          <w:b/>
          <w:bCs/>
          <w:sz w:val="24"/>
        </w:rPr>
        <w:t>6、若我方成为成交供应商，将严格按照招标文件技术要求及我司响应文件承诺的质量、供货时间、报价、投标方案等内容组织实施；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napToGrid w:val="0"/>
        <w:spacing w:before="50" w:after="50"/>
        <w:ind w:left="-2" w:leftChars="-1" w:right="-817" w:rightChars="-389" w:firstLine="360" w:firstLineChars="150"/>
        <w:rPr>
          <w:rFonts w:ascii="宋体" w:hAnsi="宋体"/>
          <w:sz w:val="24"/>
        </w:rPr>
      </w:pPr>
      <w:r>
        <w:rPr>
          <w:rFonts w:hint="eastAsia" w:ascii="宋体" w:hAnsi="宋体"/>
          <w:sz w:val="24"/>
        </w:rPr>
        <w:t>法定代表人或委托代理人（签字或盖章）：</w:t>
      </w:r>
    </w:p>
    <w:p>
      <w:pPr>
        <w:snapToGrid w:val="0"/>
        <w:spacing w:before="50" w:after="50"/>
        <w:ind w:left="-2" w:leftChars="-1" w:right="-817" w:rightChars="-389" w:firstLine="360" w:firstLineChars="150"/>
        <w:rPr>
          <w:rFonts w:ascii="宋体" w:hAnsi="宋体"/>
          <w:sz w:val="24"/>
        </w:rPr>
      </w:pPr>
    </w:p>
    <w:p>
      <w:pPr>
        <w:snapToGrid w:val="0"/>
        <w:spacing w:before="50" w:after="50"/>
        <w:ind w:right="-817" w:rightChars="-389" w:firstLine="360" w:firstLineChars="150"/>
        <w:rPr>
          <w:rFonts w:ascii="宋体" w:hAnsi="宋体"/>
          <w:sz w:val="24"/>
        </w:rPr>
      </w:pPr>
      <w:r>
        <w:rPr>
          <w:rFonts w:hint="eastAsia" w:ascii="宋体" w:hAnsi="宋体"/>
          <w:sz w:val="24"/>
        </w:rPr>
        <w:t xml:space="preserve">投标人名称（盖章）：                                         </w:t>
      </w:r>
    </w:p>
    <w:p>
      <w:pPr>
        <w:snapToGrid w:val="0"/>
        <w:spacing w:before="50" w:after="50"/>
        <w:ind w:right="-817" w:rightChars="-389"/>
        <w:rPr>
          <w:rFonts w:ascii="宋体" w:hAnsi="宋体"/>
          <w:sz w:val="24"/>
        </w:rPr>
      </w:pPr>
    </w:p>
    <w:p>
      <w:pPr>
        <w:pStyle w:val="2"/>
        <w:ind w:firstLine="5760" w:firstLineChars="2400"/>
        <w:rPr>
          <w:rFonts w:ascii="宋体" w:hAnsi="宋体"/>
          <w:sz w:val="24"/>
        </w:rPr>
      </w:pPr>
      <w:r>
        <w:rPr>
          <w:rFonts w:hint="eastAsia" w:ascii="宋体" w:hAnsi="宋体"/>
          <w:sz w:val="24"/>
        </w:rPr>
        <w:t>日期：    年   月   日</w:t>
      </w:r>
    </w:p>
    <w:p>
      <w:pPr>
        <w:rPr>
          <w:rFonts w:ascii="宋体" w:hAnsi="宋体"/>
          <w:sz w:val="24"/>
        </w:rPr>
      </w:pPr>
    </w:p>
    <w:p>
      <w:pPr>
        <w:pStyle w:val="3"/>
        <w:rPr>
          <w:rFonts w:ascii="宋体" w:hAnsi="宋体"/>
          <w:sz w:val="24"/>
        </w:rPr>
      </w:pPr>
    </w:p>
    <w:p>
      <w:pPr>
        <w:pStyle w:val="31"/>
        <w:rPr>
          <w:rFonts w:ascii="宋体" w:hAnsi="宋体"/>
          <w:sz w:val="24"/>
        </w:rPr>
      </w:pPr>
    </w:p>
    <w:p>
      <w:pPr>
        <w:pStyle w:val="6"/>
        <w:rPr>
          <w:rFonts w:hAnsi="宋体"/>
          <w:b w:val="0"/>
          <w:sz w:val="24"/>
        </w:rPr>
      </w:pPr>
      <w:bookmarkStart w:id="23" w:name="_Toc28614"/>
      <w:r>
        <w:rPr>
          <w:rFonts w:hint="eastAsia" w:hAnsi="宋体"/>
          <w:b w:val="0"/>
          <w:sz w:val="24"/>
        </w:rPr>
        <w:t>附件五 商务、技术响应表</w:t>
      </w:r>
      <w:bookmarkEnd w:id="23"/>
    </w:p>
    <w:p>
      <w:pPr>
        <w:jc w:val="center"/>
        <w:rPr>
          <w:rFonts w:ascii="宋体" w:hAnsi="宋体"/>
          <w:b/>
          <w:sz w:val="30"/>
          <w:szCs w:val="30"/>
        </w:rPr>
      </w:pPr>
      <w:r>
        <w:rPr>
          <w:rFonts w:hint="eastAsia" w:ascii="宋体" w:hAnsi="宋体"/>
          <w:b/>
          <w:sz w:val="30"/>
          <w:szCs w:val="30"/>
        </w:rPr>
        <w:t>商务、技术响应表</w:t>
      </w:r>
    </w:p>
    <w:p>
      <w:pPr>
        <w:snapToGrid w:val="0"/>
        <w:spacing w:before="50" w:after="156" w:afterLines="50"/>
        <w:jc w:val="left"/>
        <w:rPr>
          <w:rFonts w:ascii="宋体" w:hAnsi="宋体"/>
          <w:sz w:val="24"/>
          <w:szCs w:val="20"/>
        </w:rPr>
      </w:pPr>
      <w:r>
        <w:rPr>
          <w:rFonts w:hint="eastAsia" w:ascii="宋体" w:hAnsi="宋体"/>
        </w:rPr>
        <w:t>谈判编号：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03"/>
        <w:gridCol w:w="2008"/>
        <w:gridCol w:w="1663"/>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内  容</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谈判文件</w:t>
            </w:r>
          </w:p>
          <w:p>
            <w:pPr>
              <w:jc w:val="center"/>
              <w:rPr>
                <w:rFonts w:ascii="宋体" w:hAnsi="宋体"/>
                <w:sz w:val="24"/>
              </w:rPr>
            </w:pPr>
            <w:r>
              <w:rPr>
                <w:rFonts w:hint="eastAsia" w:ascii="宋体" w:hAnsi="宋体"/>
                <w:sz w:val="24"/>
              </w:rPr>
              <w:t>规范要求</w:t>
            </w:r>
          </w:p>
        </w:tc>
        <w:tc>
          <w:tcPr>
            <w:tcW w:w="1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谈判响应文件</w:t>
            </w:r>
          </w:p>
          <w:p>
            <w:pPr>
              <w:jc w:val="center"/>
              <w:rPr>
                <w:rFonts w:ascii="宋体" w:hAnsi="宋体"/>
                <w:sz w:val="24"/>
              </w:rPr>
            </w:pPr>
            <w:r>
              <w:rPr>
                <w:rFonts w:hint="eastAsia" w:ascii="宋体" w:hAnsi="宋体"/>
                <w:sz w:val="24"/>
              </w:rPr>
              <w:t>对应规范</w:t>
            </w:r>
          </w:p>
        </w:tc>
        <w:tc>
          <w:tcPr>
            <w:tcW w:w="2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偏离情况</w:t>
            </w:r>
          </w:p>
          <w:p>
            <w:pPr>
              <w:jc w:val="center"/>
              <w:rPr>
                <w:rFonts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1"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90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bl>
    <w:p>
      <w:pPr>
        <w:snapToGrid w:val="0"/>
        <w:spacing w:before="50" w:after="50"/>
        <w:rPr>
          <w:rFonts w:ascii="宋体" w:hAnsi="宋体"/>
          <w:b/>
          <w:bCs/>
          <w:sz w:val="24"/>
          <w:szCs w:val="20"/>
        </w:rPr>
      </w:pPr>
    </w:p>
    <w:p>
      <w:pPr>
        <w:snapToGrid w:val="0"/>
        <w:spacing w:before="50" w:after="50"/>
        <w:rPr>
          <w:rFonts w:ascii="宋体" w:hAnsi="宋体"/>
          <w:b/>
          <w:bCs/>
          <w:spacing w:val="20"/>
          <w:sz w:val="24"/>
          <w:szCs w:val="20"/>
        </w:rPr>
      </w:pPr>
      <w:r>
        <w:rPr>
          <w:rFonts w:hint="eastAsia" w:ascii="宋体" w:hAnsi="宋体"/>
          <w:b/>
          <w:bCs/>
          <w:sz w:val="24"/>
          <w:szCs w:val="20"/>
        </w:rPr>
        <w:t>注：谈判响应方应根据投谈判项目的性能指标、对照竞争性谈判文件要求在“偏离情况”栏注明“正偏离”、“负偏离”或“无偏离”。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pacing w:val="20"/>
          <w:sz w:val="24"/>
          <w:szCs w:val="20"/>
          <w:u w:val="single"/>
        </w:rPr>
      </w:pPr>
      <w:r>
        <w:rPr>
          <w:rFonts w:hint="eastAsia" w:ascii="宋体" w:hAnsi="宋体"/>
          <w:sz w:val="24"/>
        </w:rPr>
        <w:t>法定代表人或委托代理人签字</w:t>
      </w:r>
      <w:r>
        <w:rPr>
          <w:rFonts w:hint="eastAsia" w:ascii="宋体" w:hAnsi="宋体"/>
          <w:spacing w:val="20"/>
          <w:sz w:val="24"/>
        </w:rPr>
        <w:t>：</w:t>
      </w:r>
      <w:r>
        <w:rPr>
          <w:rFonts w:hint="eastAsia" w:ascii="宋体" w:hAnsi="宋体"/>
          <w:spacing w:val="20"/>
          <w:sz w:val="24"/>
          <w:u w:val="single"/>
        </w:rPr>
        <w:t xml:space="preserve">        </w:t>
      </w:r>
    </w:p>
    <w:p>
      <w:pPr>
        <w:snapToGrid w:val="0"/>
        <w:spacing w:before="50" w:after="50"/>
        <w:rPr>
          <w:rFonts w:ascii="宋体" w:hAnsi="宋体"/>
          <w:sz w:val="24"/>
          <w:szCs w:val="20"/>
        </w:rPr>
      </w:pPr>
      <w:r>
        <w:rPr>
          <w:rFonts w:hint="eastAsia" w:ascii="宋体" w:hAnsi="宋体"/>
          <w:spacing w:val="20"/>
          <w:sz w:val="24"/>
        </w:rPr>
        <w:t>谈判响应方盖章：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spacing w:line="360" w:lineRule="auto"/>
        <w:rPr>
          <w:rFonts w:ascii="宋体" w:hAnsi="宋体"/>
        </w:rPr>
      </w:pPr>
    </w:p>
    <w:p>
      <w:pPr>
        <w:pStyle w:val="12"/>
        <w:spacing w:line="480" w:lineRule="auto"/>
        <w:rPr>
          <w:rFonts w:hAnsi="宋体"/>
        </w:rPr>
      </w:pPr>
    </w:p>
    <w:p>
      <w:pPr>
        <w:pStyle w:val="12"/>
        <w:spacing w:line="480" w:lineRule="auto"/>
        <w:rPr>
          <w:rFonts w:hAnsi="宋体"/>
        </w:rPr>
      </w:pPr>
    </w:p>
    <w:p>
      <w:pPr>
        <w:rPr>
          <w:rFonts w:hAnsi="宋体"/>
        </w:rPr>
      </w:pPr>
    </w:p>
    <w:p>
      <w:pPr>
        <w:pStyle w:val="6"/>
        <w:rPr>
          <w:rFonts w:hAnsi="宋体"/>
          <w:b w:val="0"/>
          <w:sz w:val="24"/>
        </w:rPr>
      </w:pPr>
      <w:bookmarkStart w:id="24" w:name="_Toc11586"/>
      <w:r>
        <w:rPr>
          <w:rFonts w:hint="eastAsia" w:hAnsi="宋体"/>
          <w:b w:val="0"/>
          <w:sz w:val="24"/>
        </w:rPr>
        <w:t>附件</w:t>
      </w:r>
      <w:r>
        <w:rPr>
          <w:rFonts w:hint="eastAsia" w:hAnsi="宋体"/>
          <w:b w:val="0"/>
          <w:sz w:val="24"/>
          <w:lang w:eastAsia="zh-CN"/>
        </w:rPr>
        <w:t>六</w:t>
      </w:r>
      <w:r>
        <w:rPr>
          <w:rFonts w:hint="eastAsia" w:hAnsi="宋体"/>
          <w:b w:val="0"/>
          <w:sz w:val="24"/>
        </w:rPr>
        <w:t xml:space="preserve"> </w:t>
      </w:r>
      <w:r>
        <w:rPr>
          <w:rFonts w:hint="eastAsia" w:hAnsi="宋体"/>
          <w:b w:val="0"/>
          <w:sz w:val="24"/>
          <w:lang w:eastAsia="zh-CN"/>
        </w:rPr>
        <w:t>供货及投标报价表</w:t>
      </w:r>
      <w:bookmarkEnd w:id="24"/>
    </w:p>
    <w:p>
      <w:pPr>
        <w:jc w:val="center"/>
        <w:rPr>
          <w:rFonts w:hint="eastAsia" w:ascii="宋体" w:hAnsi="宋体" w:eastAsia="宋体"/>
          <w:b/>
          <w:sz w:val="30"/>
          <w:szCs w:val="30"/>
          <w:lang w:eastAsia="zh-CN"/>
        </w:rPr>
      </w:pPr>
      <w:r>
        <w:rPr>
          <w:rFonts w:hint="eastAsia" w:ascii="宋体" w:hAnsi="宋体"/>
          <w:b/>
          <w:sz w:val="30"/>
          <w:szCs w:val="30"/>
          <w:lang w:eastAsia="zh-CN"/>
        </w:rPr>
        <w:t>供货及投标报价表</w:t>
      </w:r>
    </w:p>
    <w:p>
      <w:pPr>
        <w:snapToGrid w:val="0"/>
        <w:spacing w:before="50" w:after="156" w:afterLines="50"/>
        <w:jc w:val="left"/>
      </w:pPr>
      <w:r>
        <w:rPr>
          <w:rFonts w:hint="eastAsia" w:ascii="宋体" w:hAnsi="宋体"/>
        </w:rPr>
        <w:t>谈判编号：</w:t>
      </w: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44"/>
        <w:gridCol w:w="1456"/>
        <w:gridCol w:w="1080"/>
        <w:gridCol w:w="900"/>
        <w:gridCol w:w="900"/>
        <w:gridCol w:w="720"/>
        <w:gridCol w:w="791"/>
        <w:gridCol w:w="900"/>
        <w:gridCol w:w="11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68" w:hRule="atLeast"/>
          <w:jc w:val="center"/>
        </w:trPr>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44" w:type="dxa"/>
            <w:noWrap w:val="0"/>
            <w:vAlign w:val="center"/>
          </w:tcPr>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456" w:type="dxa"/>
            <w:noWrap w:val="0"/>
            <w:vAlign w:val="center"/>
          </w:tcPr>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1080" w:type="dxa"/>
            <w:noWrap w:val="0"/>
            <w:vAlign w:val="center"/>
          </w:tcPr>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w:t>
            </w:r>
          </w:p>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900" w:type="dxa"/>
            <w:noWrap w:val="0"/>
            <w:vAlign w:val="center"/>
          </w:tcPr>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生产厂家</w:t>
            </w:r>
          </w:p>
        </w:tc>
        <w:tc>
          <w:tcPr>
            <w:tcW w:w="900" w:type="dxa"/>
            <w:noWrap w:val="0"/>
            <w:vAlign w:val="center"/>
          </w:tcPr>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产地</w:t>
            </w:r>
          </w:p>
        </w:tc>
        <w:tc>
          <w:tcPr>
            <w:tcW w:w="720" w:type="dxa"/>
            <w:noWrap w:val="0"/>
            <w:vAlign w:val="center"/>
          </w:tcPr>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91" w:type="dxa"/>
            <w:noWrap w:val="0"/>
            <w:vAlign w:val="center"/>
          </w:tcPr>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综合单价</w:t>
            </w:r>
          </w:p>
        </w:tc>
        <w:tc>
          <w:tcPr>
            <w:tcW w:w="900" w:type="dxa"/>
            <w:noWrap w:val="0"/>
            <w:vAlign w:val="center"/>
          </w:tcPr>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小计</w:t>
            </w:r>
          </w:p>
        </w:tc>
        <w:tc>
          <w:tcPr>
            <w:tcW w:w="1189" w:type="dxa"/>
            <w:noWrap w:val="0"/>
            <w:vAlign w:val="center"/>
          </w:tcPr>
          <w:p>
            <w:pPr>
              <w:adjustRightInd w:val="0"/>
              <w:snapToGrid w:val="0"/>
              <w:spacing w:line="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1244"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1456"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108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72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791"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1189"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1244"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1456"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108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72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791"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1189"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680" w:type="dxa"/>
            <w:gridSpan w:val="4"/>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72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791"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900"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c>
          <w:tcPr>
            <w:tcW w:w="1189" w:type="dxa"/>
            <w:noWrap w:val="0"/>
            <w:vAlign w:val="center"/>
          </w:tcPr>
          <w:p>
            <w:pPr>
              <w:adjustRightInd w:val="0"/>
              <w:snapToGrid w:val="0"/>
              <w:spacing w:line="0" w:lineRule="atLeast"/>
              <w:rPr>
                <w:rFonts w:hint="eastAsia" w:asciiTheme="minorEastAsia" w:hAnsiTheme="minorEastAsia" w:eastAsiaTheme="minorEastAsia" w:cstheme="minorEastAsia"/>
                <w:sz w:val="24"/>
                <w:szCs w:val="24"/>
              </w:rPr>
            </w:pPr>
          </w:p>
        </w:tc>
      </w:tr>
    </w:tbl>
    <w:p>
      <w:pPr>
        <w:adjustRightInd w:val="0"/>
        <w:snapToGrid w:val="0"/>
        <w:spacing w:line="0" w:lineRule="atLeast"/>
        <w:rPr>
          <w:rFonts w:hint="eastAsia" w:ascii="方正仿宋_GBK" w:hAnsi="Trebuchet MS" w:eastAsia="方正仿宋_GBK"/>
          <w:sz w:val="24"/>
        </w:rPr>
      </w:pPr>
      <w:r>
        <w:rPr>
          <w:rFonts w:hint="eastAsia" w:ascii="方正仿宋_GBK" w:hAnsi="Trebuchet MS" w:eastAsia="方正仿宋_GBK"/>
          <w:b/>
          <w:sz w:val="24"/>
        </w:rPr>
        <w:t>注：“产地”应如实填写产品的最终生产或组装地。</w:t>
      </w:r>
    </w:p>
    <w:p>
      <w:pPr>
        <w:adjustRightInd w:val="0"/>
        <w:snapToGrid w:val="0"/>
        <w:spacing w:line="0" w:lineRule="atLeast"/>
        <w:rPr>
          <w:rFonts w:hint="eastAsia" w:ascii="方正仿宋_GBK" w:hAnsi="Trebuchet MS" w:eastAsia="方正仿宋_GBK"/>
          <w:sz w:val="24"/>
        </w:rPr>
      </w:pPr>
      <w:r>
        <w:rPr>
          <w:rFonts w:hint="eastAsia" w:ascii="方正仿宋_GBK" w:hAnsi="Trebuchet MS" w:eastAsia="方正仿宋_GBK"/>
          <w:sz w:val="24"/>
        </w:rPr>
        <w:t>投标人（公章）:</w:t>
      </w:r>
      <w:r>
        <w:rPr>
          <w:rFonts w:hint="eastAsia" w:ascii="方正仿宋_GBK" w:hAnsi="Trebuchet MS" w:eastAsia="方正仿宋_GBK"/>
          <w:sz w:val="24"/>
          <w:u w:val="single"/>
        </w:rPr>
        <w:t xml:space="preserve">                     </w:t>
      </w:r>
    </w:p>
    <w:p>
      <w:pPr>
        <w:pStyle w:val="20"/>
        <w:ind w:left="0" w:leftChars="0" w:firstLine="0" w:firstLineChars="0"/>
        <w:rPr>
          <w:sz w:val="24"/>
          <w:highlight w:val="green"/>
        </w:rPr>
      </w:pPr>
    </w:p>
    <w:p>
      <w:pPr>
        <w:pStyle w:val="20"/>
        <w:ind w:left="0" w:leftChars="0" w:firstLine="0" w:firstLineChars="0"/>
        <w:rPr>
          <w:sz w:val="24"/>
          <w:highlight w:val="green"/>
        </w:rPr>
      </w:pPr>
    </w:p>
    <w:p>
      <w:pPr>
        <w:pStyle w:val="6"/>
        <w:rPr>
          <w:rFonts w:hAnsi="宋体"/>
          <w:b w:val="0"/>
          <w:sz w:val="24"/>
        </w:rPr>
      </w:pPr>
      <w:bookmarkStart w:id="25" w:name="_Toc22278"/>
      <w:r>
        <w:rPr>
          <w:rFonts w:hint="eastAsia" w:hAnsi="宋体"/>
          <w:b w:val="0"/>
          <w:sz w:val="24"/>
        </w:rPr>
        <w:t>附件</w:t>
      </w:r>
      <w:r>
        <w:rPr>
          <w:rFonts w:hint="eastAsia" w:hAnsi="宋体"/>
          <w:b w:val="0"/>
          <w:sz w:val="24"/>
          <w:lang w:eastAsia="zh-CN"/>
        </w:rPr>
        <w:t>七</w:t>
      </w:r>
      <w:r>
        <w:rPr>
          <w:rFonts w:hint="eastAsia" w:hAnsi="宋体"/>
          <w:b w:val="0"/>
          <w:sz w:val="24"/>
        </w:rPr>
        <w:t xml:space="preserve"> </w:t>
      </w:r>
      <w:r>
        <w:rPr>
          <w:rFonts w:hint="eastAsia" w:hAnsi="宋体"/>
          <w:b w:val="0"/>
          <w:sz w:val="24"/>
          <w:lang w:eastAsia="zh-CN"/>
        </w:rPr>
        <w:t>生产厂商授权书</w:t>
      </w:r>
      <w:bookmarkEnd w:id="25"/>
    </w:p>
    <w:p>
      <w:pPr>
        <w:adjustRightInd w:val="0"/>
        <w:snapToGrid w:val="0"/>
        <w:spacing w:line="0" w:lineRule="atLeast"/>
        <w:jc w:val="center"/>
        <w:rPr>
          <w:rFonts w:hint="eastAsia" w:ascii="方正仿宋_GBK" w:hAnsi="Trebuchet MS" w:eastAsia="方正仿宋_GBK"/>
          <w:b/>
          <w:sz w:val="32"/>
        </w:rPr>
      </w:pPr>
      <w:r>
        <w:rPr>
          <w:rFonts w:hint="eastAsia" w:ascii="方正仿宋_GBK" w:hAnsi="Trebuchet MS" w:eastAsia="方正仿宋_GBK"/>
          <w:b/>
          <w:sz w:val="32"/>
        </w:rPr>
        <w:t>生产厂商授权书</w:t>
      </w:r>
    </w:p>
    <w:p>
      <w:pPr>
        <w:adjustRightInd w:val="0"/>
        <w:snapToGrid w:val="0"/>
        <w:spacing w:line="0" w:lineRule="atLeast"/>
        <w:rPr>
          <w:rFonts w:hint="eastAsia" w:ascii="方正仿宋_GBK" w:hAnsi="Trebuchet MS" w:eastAsia="方正仿宋_GBK"/>
          <w:b/>
          <w:sz w:val="28"/>
          <w:lang w:eastAsia="zh-CN"/>
        </w:rPr>
      </w:pPr>
      <w:r>
        <w:rPr>
          <w:rFonts w:hint="eastAsia" w:ascii="方正仿宋_GBK" w:hAnsi="Trebuchet MS" w:eastAsia="方正仿宋_GBK"/>
          <w:b/>
          <w:sz w:val="28"/>
        </w:rPr>
        <w:t>致：</w:t>
      </w:r>
      <w:r>
        <w:rPr>
          <w:rFonts w:hint="eastAsia" w:ascii="方正仿宋_GBK" w:hAnsi="Trebuchet MS" w:eastAsia="方正仿宋_GBK"/>
          <w:b/>
          <w:sz w:val="28"/>
          <w:lang w:eastAsia="zh-CN"/>
        </w:rPr>
        <w:t>浙江广厦建设职业技术大学</w:t>
      </w:r>
    </w:p>
    <w:p>
      <w:pPr>
        <w:adjustRightInd w:val="0"/>
        <w:snapToGrid w:val="0"/>
        <w:spacing w:line="0" w:lineRule="atLeast"/>
        <w:ind w:firstLine="560" w:firstLineChars="2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 xml:space="preserve"> (生产厂家名称)是在</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(国名)依法登记注册的，其厂址是在</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w:t>
      </w:r>
    </w:p>
    <w:p>
      <w:pPr>
        <w:adjustRightInd w:val="0"/>
        <w:snapToGrid w:val="0"/>
        <w:spacing w:line="0" w:lineRule="atLeast"/>
        <w:ind w:firstLine="560" w:firstLineChars="2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(被授权公司的名称)是在</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(国名) 依法登记注册的，其主要营业地点在</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w:t>
      </w:r>
    </w:p>
    <w:p>
      <w:pPr>
        <w:adjustRightInd w:val="0"/>
        <w:snapToGrid w:val="0"/>
        <w:spacing w:line="0" w:lineRule="atLeast"/>
        <w:ind w:firstLine="560" w:firstLineChars="2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兹授予</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（被授权公司的名称）代表我方提供 “</w:t>
      </w:r>
      <w:r>
        <w:rPr>
          <w:rFonts w:hint="eastAsia" w:asciiTheme="minorEastAsia" w:hAnsiTheme="minorEastAsia" w:eastAsiaTheme="minorEastAsia" w:cstheme="minorEastAsia"/>
          <w:sz w:val="28"/>
          <w:lang w:eastAsia="zh-CN"/>
        </w:rPr>
        <w:t>广厦大学</w:t>
      </w:r>
      <w:r>
        <w:rPr>
          <w:rFonts w:hint="eastAsia" w:asciiTheme="minorEastAsia" w:hAnsiTheme="minorEastAsia" w:eastAsiaTheme="minorEastAsia" w:cstheme="minorEastAsia"/>
          <w:sz w:val="28"/>
        </w:rPr>
        <w:t>无线耳机设备采购项目”磋商文件要求由我方生产的货物的合法代理人，全权处理与该货物有关的一切事宜。</w:t>
      </w:r>
    </w:p>
    <w:p>
      <w:pPr>
        <w:adjustRightInd w:val="0"/>
        <w:snapToGrid w:val="0"/>
        <w:spacing w:line="0" w:lineRule="atLeas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被授权公司名称：</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出具授权书生产厂家名称：</w:t>
      </w:r>
      <w:r>
        <w:rPr>
          <w:rFonts w:hint="eastAsia" w:asciiTheme="minorEastAsia" w:hAnsiTheme="minorEastAsia" w:eastAsiaTheme="minorEastAsia" w:cstheme="minorEastAsia"/>
          <w:sz w:val="28"/>
          <w:u w:val="single"/>
        </w:rPr>
        <w:t xml:space="preserve">           </w:t>
      </w:r>
    </w:p>
    <w:p>
      <w:pPr>
        <w:adjustRightInd w:val="0"/>
        <w:snapToGrid w:val="0"/>
        <w:spacing w:line="0" w:lineRule="atLeas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 xml:space="preserve">         （公   章）               （公   章）</w:t>
      </w:r>
    </w:p>
    <w:p>
      <w:pPr>
        <w:adjustRightInd w:val="0"/>
        <w:snapToGrid w:val="0"/>
        <w:spacing w:line="0" w:lineRule="atLeast"/>
        <w:rPr>
          <w:rFonts w:hint="eastAsia" w:asciiTheme="minorEastAsia" w:hAnsiTheme="minorEastAsia" w:eastAsiaTheme="minorEastAsia" w:cstheme="minorEastAsia"/>
          <w:sz w:val="28"/>
          <w:u w:val="single"/>
        </w:rPr>
      </w:pPr>
      <w:r>
        <w:rPr>
          <w:rFonts w:hint="eastAsia" w:asciiTheme="minorEastAsia" w:hAnsiTheme="minorEastAsia" w:eastAsiaTheme="minorEastAsia" w:cstheme="minorEastAsia"/>
          <w:sz w:val="28"/>
        </w:rPr>
        <w:t>姓   名：</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姓   名：</w:t>
      </w:r>
      <w:r>
        <w:rPr>
          <w:rFonts w:hint="eastAsia" w:asciiTheme="minorEastAsia" w:hAnsiTheme="minorEastAsia" w:eastAsiaTheme="minorEastAsia" w:cstheme="minorEastAsia"/>
          <w:sz w:val="28"/>
          <w:u w:val="single"/>
        </w:rPr>
        <w:t xml:space="preserve">             </w:t>
      </w:r>
    </w:p>
    <w:p>
      <w:pPr>
        <w:adjustRightInd w:val="0"/>
        <w:snapToGrid w:val="0"/>
        <w:spacing w:line="0" w:lineRule="atLeast"/>
        <w:rPr>
          <w:rFonts w:hint="eastAsia" w:asciiTheme="minorEastAsia" w:hAnsiTheme="minorEastAsia" w:eastAsiaTheme="minorEastAsia" w:cstheme="minorEastAsia"/>
          <w:sz w:val="28"/>
          <w:u w:val="single"/>
        </w:rPr>
      </w:pPr>
      <w:r>
        <w:rPr>
          <w:rFonts w:hint="eastAsia" w:asciiTheme="minorEastAsia" w:hAnsiTheme="minorEastAsia" w:eastAsiaTheme="minorEastAsia" w:cstheme="minorEastAsia"/>
          <w:sz w:val="28"/>
        </w:rPr>
        <w:t>职   务：</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职   务：</w:t>
      </w:r>
      <w:r>
        <w:rPr>
          <w:rFonts w:hint="eastAsia" w:asciiTheme="minorEastAsia" w:hAnsiTheme="minorEastAsia" w:eastAsiaTheme="minorEastAsia" w:cstheme="minorEastAsia"/>
          <w:sz w:val="28"/>
          <w:u w:val="single"/>
        </w:rPr>
        <w:t xml:space="preserve">             </w:t>
      </w:r>
    </w:p>
    <w:p>
      <w:pPr>
        <w:adjustRightInd w:val="0"/>
        <w:snapToGrid w:val="0"/>
        <w:spacing w:line="0" w:lineRule="atLeas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 xml:space="preserve">电   话： </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电   话：</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 xml:space="preserve">  </w:t>
      </w:r>
    </w:p>
    <w:p>
      <w:pPr>
        <w:adjustRightInd w:val="0"/>
        <w:snapToGrid w:val="0"/>
        <w:spacing w:line="0" w:lineRule="atLeast"/>
        <w:rPr>
          <w:rFonts w:hint="eastAsia" w:ascii="方正仿宋_GBK" w:hAnsi="Trebuchet MS" w:eastAsia="方正仿宋_GBK"/>
          <w:sz w:val="28"/>
          <w:u w:val="single"/>
        </w:rPr>
      </w:pPr>
      <w:r>
        <w:rPr>
          <w:rFonts w:hint="eastAsia" w:asciiTheme="minorEastAsia" w:hAnsiTheme="minorEastAsia" w:eastAsiaTheme="minorEastAsia" w:cstheme="minorEastAsia"/>
          <w:sz w:val="28"/>
        </w:rPr>
        <w:t xml:space="preserve">                                日   期：</w:t>
      </w:r>
      <w:r>
        <w:rPr>
          <w:rFonts w:hint="eastAsia" w:asciiTheme="minorEastAsia" w:hAnsiTheme="minorEastAsia" w:eastAsiaTheme="minorEastAsia" w:cstheme="minorEastAsia"/>
          <w:sz w:val="28"/>
          <w:u w:val="single"/>
        </w:rPr>
        <w:t xml:space="preserve">   </w:t>
      </w:r>
      <w:r>
        <w:rPr>
          <w:rFonts w:hint="eastAsia" w:ascii="方正仿宋_GBK" w:hAnsi="Trebuchet MS" w:eastAsia="方正仿宋_GBK"/>
          <w:sz w:val="28"/>
          <w:u w:val="single"/>
        </w:rPr>
        <w:t xml:space="preserve">          </w:t>
      </w:r>
    </w:p>
    <w:p>
      <w:pPr>
        <w:adjustRightInd w:val="0"/>
        <w:snapToGrid w:val="0"/>
        <w:spacing w:line="0" w:lineRule="atLeast"/>
        <w:rPr>
          <w:rFonts w:hint="eastAsia" w:ascii="方正仿宋_GBK" w:hAnsi="Trebuchet MS" w:eastAsia="方正仿宋_GBK"/>
          <w:sz w:val="28"/>
        </w:rPr>
      </w:pPr>
    </w:p>
    <w:p>
      <w:pPr>
        <w:pStyle w:val="20"/>
        <w:ind w:left="0" w:leftChars="0" w:firstLine="0" w:firstLineChars="0"/>
        <w:rPr>
          <w:sz w:val="24"/>
          <w:highlight w:val="green"/>
        </w:rPr>
      </w:pPr>
    </w:p>
    <w:p>
      <w:pPr>
        <w:pStyle w:val="20"/>
        <w:ind w:left="0" w:leftChars="0" w:firstLine="0" w:firstLineChars="0"/>
        <w:rPr>
          <w:sz w:val="24"/>
          <w:highlight w:val="green"/>
        </w:rPr>
      </w:pPr>
    </w:p>
    <w:p>
      <w:pPr>
        <w:pStyle w:val="20"/>
        <w:ind w:left="0" w:leftChars="0" w:firstLine="0" w:firstLineChars="0"/>
        <w:rPr>
          <w:sz w:val="24"/>
          <w:highlight w:val="green"/>
        </w:rPr>
      </w:pPr>
    </w:p>
    <w:p>
      <w:pPr>
        <w:pStyle w:val="20"/>
        <w:ind w:left="0" w:leftChars="0" w:firstLine="0" w:firstLineChars="0"/>
        <w:rPr>
          <w:sz w:val="24"/>
          <w:highlight w:val="green"/>
        </w:rPr>
      </w:pPr>
    </w:p>
    <w:p>
      <w:pPr>
        <w:pStyle w:val="20"/>
        <w:ind w:left="0" w:leftChars="0" w:firstLine="0" w:firstLineChars="0"/>
        <w:rPr>
          <w:sz w:val="24"/>
          <w:highlight w:val="green"/>
        </w:rPr>
      </w:pPr>
    </w:p>
    <w:p>
      <w:pPr>
        <w:pStyle w:val="6"/>
        <w:keepNext w:val="0"/>
        <w:keepLines w:val="0"/>
        <w:spacing w:line="412" w:lineRule="auto"/>
        <w:rPr>
          <w:rFonts w:ascii="宋体" w:hAnsi="宋体" w:cs="宋体"/>
          <w:b w:val="0"/>
          <w:sz w:val="24"/>
        </w:rPr>
      </w:pPr>
      <w:bookmarkStart w:id="26" w:name="_Toc23527"/>
      <w:bookmarkStart w:id="27" w:name="_Toc18243"/>
      <w:r>
        <w:rPr>
          <w:rFonts w:ascii="宋体" w:hAnsi="宋体" w:cs="宋体"/>
          <w:b w:val="0"/>
          <w:sz w:val="24"/>
        </w:rPr>
        <w:t>附件</w:t>
      </w:r>
      <w:r>
        <w:rPr>
          <w:rFonts w:hint="eastAsia" w:ascii="宋体" w:hAnsi="宋体" w:cs="宋体"/>
          <w:b w:val="0"/>
          <w:sz w:val="24"/>
          <w:lang w:eastAsia="zh-CN"/>
        </w:rPr>
        <w:t>八</w:t>
      </w:r>
      <w:r>
        <w:rPr>
          <w:rFonts w:ascii="宋体" w:hAnsi="宋体" w:cs="宋体"/>
          <w:b w:val="0"/>
          <w:sz w:val="24"/>
        </w:rPr>
        <w:t>：同类项目业绩证明</w:t>
      </w:r>
      <w:bookmarkEnd w:id="26"/>
      <w:bookmarkEnd w:id="27"/>
    </w:p>
    <w:p>
      <w:pPr>
        <w:jc w:val="center"/>
        <w:rPr>
          <w:rFonts w:ascii="宋体" w:hAnsi="宋体" w:cs="宋体"/>
          <w:b/>
          <w:sz w:val="36"/>
          <w:szCs w:val="36"/>
        </w:rPr>
      </w:pPr>
      <w:r>
        <w:rPr>
          <w:rFonts w:ascii="宋体" w:hAnsi="宋体" w:cs="宋体"/>
          <w:b/>
          <w:sz w:val="36"/>
          <w:szCs w:val="36"/>
        </w:rPr>
        <w:t>同类项目业绩证明</w:t>
      </w:r>
    </w:p>
    <w:p>
      <w:pPr>
        <w:rPr>
          <w:rFonts w:ascii="宋体" w:hAnsi="宋体" w:cs="宋体"/>
          <w:b/>
          <w:sz w:val="24"/>
          <w:szCs w:val="36"/>
        </w:rPr>
      </w:pPr>
    </w:p>
    <w:p>
      <w:pPr>
        <w:rPr>
          <w:rFonts w:ascii="宋体" w:hAnsi="宋体" w:cs="宋体"/>
          <w:sz w:val="24"/>
        </w:rPr>
      </w:pPr>
    </w:p>
    <w:tbl>
      <w:tblPr>
        <w:tblStyle w:val="21"/>
        <w:tblW w:w="9508" w:type="dxa"/>
        <w:tblInd w:w="108" w:type="dxa"/>
        <w:tblLayout w:type="fixed"/>
        <w:tblCellMar>
          <w:top w:w="0" w:type="dxa"/>
          <w:left w:w="108" w:type="dxa"/>
          <w:bottom w:w="0" w:type="dxa"/>
          <w:right w:w="108" w:type="dxa"/>
        </w:tblCellMar>
      </w:tblPr>
      <w:tblGrid>
        <w:gridCol w:w="1657"/>
        <w:gridCol w:w="1446"/>
        <w:gridCol w:w="1717"/>
        <w:gridCol w:w="833"/>
        <w:gridCol w:w="975"/>
        <w:gridCol w:w="840"/>
        <w:gridCol w:w="2040"/>
      </w:tblGrid>
      <w:tr>
        <w:trPr>
          <w:trHeight w:val="500" w:hRule="atLeast"/>
        </w:trPr>
        <w:tc>
          <w:tcPr>
            <w:tcW w:w="165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采购单位名称</w:t>
            </w:r>
          </w:p>
        </w:tc>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项目名称</w:t>
            </w:r>
          </w:p>
        </w:tc>
        <w:tc>
          <w:tcPr>
            <w:tcW w:w="171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合同</w:t>
            </w:r>
          </w:p>
          <w:p>
            <w:pPr>
              <w:jc w:val="center"/>
              <w:rPr>
                <w:rFonts w:ascii="宋体" w:hAnsi="宋体" w:cs="宋体"/>
                <w:sz w:val="24"/>
              </w:rPr>
            </w:pPr>
            <w:r>
              <w:rPr>
                <w:rFonts w:ascii="宋体" w:hAnsi="宋体" w:cs="宋体"/>
                <w:sz w:val="24"/>
              </w:rPr>
              <w:t>金额</w:t>
            </w:r>
          </w:p>
          <w:p>
            <w:pPr>
              <w:jc w:val="center"/>
              <w:rPr>
                <w:rFonts w:ascii="宋体" w:hAnsi="宋体" w:cs="宋体"/>
                <w:sz w:val="24"/>
              </w:rPr>
            </w:pPr>
            <w:r>
              <w:rPr>
                <w:rFonts w:ascii="宋体" w:hAnsi="宋体" w:cs="宋体"/>
                <w:sz w:val="24"/>
              </w:rPr>
              <w:t>（万元）</w:t>
            </w:r>
          </w:p>
        </w:tc>
        <w:tc>
          <w:tcPr>
            <w:tcW w:w="264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附件页码</w:t>
            </w:r>
          </w:p>
        </w:tc>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ascii="宋体" w:hAnsi="宋体" w:cs="宋体"/>
                <w:sz w:val="24"/>
              </w:rPr>
              <w:t>采购单位联系人</w:t>
            </w:r>
          </w:p>
          <w:p>
            <w:pPr>
              <w:jc w:val="center"/>
              <w:rPr>
                <w:rFonts w:ascii="宋体" w:hAnsi="宋体" w:cs="宋体"/>
                <w:sz w:val="24"/>
              </w:rPr>
            </w:pPr>
            <w:r>
              <w:rPr>
                <w:rFonts w:ascii="宋体" w:hAnsi="宋体" w:cs="宋体"/>
                <w:sz w:val="24"/>
              </w:rPr>
              <w:t>及联系电话</w:t>
            </w:r>
          </w:p>
        </w:tc>
      </w:tr>
      <w:tr>
        <w:tblPrEx>
          <w:tblCellMar>
            <w:top w:w="0" w:type="dxa"/>
            <w:left w:w="108" w:type="dxa"/>
            <w:bottom w:w="0" w:type="dxa"/>
            <w:right w:w="108" w:type="dxa"/>
          </w:tblCellMar>
        </w:tblPrEx>
        <w:trPr>
          <w:trHeight w:val="77" w:hRule="atLeast"/>
        </w:trPr>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4"/>
              </w:rPr>
            </w:pP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4"/>
              </w:rPr>
            </w:pP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4"/>
              </w:rPr>
            </w:pPr>
          </w:p>
        </w:tc>
        <w:tc>
          <w:tcPr>
            <w:tcW w:w="8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ascii="宋体" w:hAnsi="宋体" w:cs="宋体"/>
                <w:sz w:val="24"/>
              </w:rPr>
              <w:t>合同</w:t>
            </w:r>
          </w:p>
        </w:tc>
        <w:tc>
          <w:tcPr>
            <w:tcW w:w="9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ascii="宋体" w:hAnsi="宋体" w:cs="宋体"/>
                <w:sz w:val="24"/>
              </w:rPr>
              <w:t>中标通知书</w:t>
            </w: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ascii="宋体" w:hAnsi="宋体" w:cs="宋体"/>
                <w:sz w:val="24"/>
              </w:rPr>
              <w:t>用户</w:t>
            </w:r>
          </w:p>
          <w:p>
            <w:pPr>
              <w:rPr>
                <w:rFonts w:ascii="宋体" w:hAnsi="宋体" w:cs="宋体"/>
                <w:sz w:val="24"/>
              </w:rPr>
            </w:pPr>
            <w:r>
              <w:rPr>
                <w:rFonts w:ascii="宋体" w:hAnsi="宋体" w:cs="宋体"/>
                <w:sz w:val="24"/>
              </w:rPr>
              <w:t>评价</w:t>
            </w: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4"/>
              </w:rPr>
            </w:pPr>
          </w:p>
        </w:tc>
      </w:tr>
      <w:tr>
        <w:tblPrEx>
          <w:tblCellMar>
            <w:top w:w="0" w:type="dxa"/>
            <w:left w:w="108" w:type="dxa"/>
            <w:bottom w:w="0" w:type="dxa"/>
            <w:right w:w="108" w:type="dxa"/>
          </w:tblCellMar>
        </w:tblPrEx>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446"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r>
      <w:tr>
        <w:tblPrEx>
          <w:tblCellMar>
            <w:top w:w="0" w:type="dxa"/>
            <w:left w:w="108" w:type="dxa"/>
            <w:bottom w:w="0" w:type="dxa"/>
            <w:right w:w="108" w:type="dxa"/>
          </w:tblCellMar>
        </w:tblPrEx>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446"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r>
      <w:tr>
        <w:tblPrEx>
          <w:tblCellMar>
            <w:top w:w="0" w:type="dxa"/>
            <w:left w:w="108" w:type="dxa"/>
            <w:bottom w:w="0" w:type="dxa"/>
            <w:right w:w="108" w:type="dxa"/>
          </w:tblCellMar>
        </w:tblPrEx>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446"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r>
      <w:tr>
        <w:tblPrEx>
          <w:tblCellMar>
            <w:top w:w="0" w:type="dxa"/>
            <w:left w:w="108" w:type="dxa"/>
            <w:bottom w:w="0" w:type="dxa"/>
            <w:right w:w="108" w:type="dxa"/>
          </w:tblCellMar>
        </w:tblPrEx>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446"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r>
      <w:tr>
        <w:tblPrEx>
          <w:tblCellMar>
            <w:top w:w="0" w:type="dxa"/>
            <w:left w:w="108" w:type="dxa"/>
            <w:bottom w:w="0" w:type="dxa"/>
            <w:right w:w="108" w:type="dxa"/>
          </w:tblCellMar>
        </w:tblPrEx>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446"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r>
      <w:tr>
        <w:tblPrEx>
          <w:tblCellMar>
            <w:top w:w="0" w:type="dxa"/>
            <w:left w:w="108" w:type="dxa"/>
            <w:bottom w:w="0" w:type="dxa"/>
            <w:right w:w="108" w:type="dxa"/>
          </w:tblCellMar>
        </w:tblPrEx>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446"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r>
      <w:tr>
        <w:tblPrEx>
          <w:tblCellMar>
            <w:top w:w="0" w:type="dxa"/>
            <w:left w:w="108" w:type="dxa"/>
            <w:bottom w:w="0" w:type="dxa"/>
            <w:right w:w="108" w:type="dxa"/>
          </w:tblCellMar>
        </w:tblPrEx>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446"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r>
      <w:tr>
        <w:tblPrEx>
          <w:tblCellMar>
            <w:top w:w="0" w:type="dxa"/>
            <w:left w:w="108" w:type="dxa"/>
            <w:bottom w:w="0" w:type="dxa"/>
            <w:right w:w="108" w:type="dxa"/>
          </w:tblCellMar>
        </w:tblPrEx>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446"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r>
      <w:tr>
        <w:tblPrEx>
          <w:tblCellMar>
            <w:top w:w="0" w:type="dxa"/>
            <w:left w:w="108" w:type="dxa"/>
            <w:bottom w:w="0" w:type="dxa"/>
            <w:right w:w="108" w:type="dxa"/>
          </w:tblCellMar>
        </w:tblPrEx>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446"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8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sz w:val="28"/>
                <w:szCs w:val="28"/>
              </w:rPr>
            </w:pPr>
          </w:p>
        </w:tc>
      </w:tr>
    </w:tbl>
    <w:p>
      <w:pPr>
        <w:rPr>
          <w:rFonts w:ascii="宋体" w:hAnsi="宋体" w:cs="宋体"/>
          <w:sz w:val="28"/>
          <w:szCs w:val="28"/>
        </w:rPr>
      </w:pPr>
      <w:r>
        <w:rPr>
          <w:rFonts w:ascii="宋体" w:hAnsi="宋体" w:cs="宋体"/>
          <w:sz w:val="24"/>
        </w:rPr>
        <w:t>注：后附相关证明材料</w:t>
      </w:r>
    </w:p>
    <w:p>
      <w:pPr>
        <w:rPr>
          <w:rFonts w:ascii="宋体" w:hAnsi="宋体" w:cs="宋体"/>
          <w:sz w:val="28"/>
          <w:szCs w:val="28"/>
        </w:rPr>
      </w:pPr>
    </w:p>
    <w:p>
      <w:pPr>
        <w:rPr>
          <w:rFonts w:ascii="宋体" w:hAnsi="宋体" w:cs="宋体"/>
          <w:sz w:val="28"/>
          <w:szCs w:val="28"/>
        </w:rPr>
      </w:pPr>
    </w:p>
    <w:p>
      <w:pPr>
        <w:spacing w:line="360" w:lineRule="auto"/>
        <w:rPr>
          <w:rFonts w:ascii="宋体" w:hAnsi="宋体" w:cs="宋体"/>
          <w:sz w:val="24"/>
          <w:u w:val="single"/>
        </w:rPr>
      </w:pPr>
      <w:r>
        <w:rPr>
          <w:rFonts w:ascii="宋体" w:hAnsi="宋体" w:cs="宋体"/>
          <w:sz w:val="24"/>
        </w:rPr>
        <w:t>法定代表人或负责人或委托代理人签名：</w:t>
      </w:r>
      <w:r>
        <w:rPr>
          <w:rFonts w:ascii="宋体" w:hAnsi="宋体" w:cs="宋体"/>
          <w:sz w:val="24"/>
          <w:u w:val="single"/>
        </w:rPr>
        <w:t xml:space="preserve">                    </w:t>
      </w:r>
    </w:p>
    <w:p>
      <w:pPr>
        <w:spacing w:line="360" w:lineRule="auto"/>
        <w:rPr>
          <w:rFonts w:ascii="宋体" w:hAnsi="宋体" w:cs="宋体"/>
          <w:sz w:val="24"/>
          <w:u w:val="single"/>
        </w:rPr>
      </w:pPr>
      <w:r>
        <w:rPr>
          <w:rFonts w:ascii="宋体" w:hAnsi="宋体" w:cs="宋体"/>
          <w:sz w:val="24"/>
        </w:rPr>
        <w:t>投标人公章：</w:t>
      </w:r>
      <w:r>
        <w:rPr>
          <w:rFonts w:ascii="宋体" w:hAnsi="宋体" w:cs="宋体"/>
          <w:sz w:val="24"/>
          <w:u w:val="single"/>
        </w:rPr>
        <w:t xml:space="preserve">                      </w:t>
      </w:r>
    </w:p>
    <w:p>
      <w:pPr>
        <w:pStyle w:val="20"/>
        <w:ind w:left="0" w:leftChars="0" w:firstLine="0" w:firstLineChars="0"/>
        <w:rPr>
          <w:sz w:val="24"/>
          <w:highlight w:val="green"/>
        </w:rPr>
      </w:pPr>
    </w:p>
    <w:sectPr>
      <w:headerReference r:id="rId3" w:type="default"/>
      <w:footerReference r:id="rId4" w:type="default"/>
      <w:pgSz w:w="11906" w:h="16838"/>
      <w:pgMar w:top="873" w:right="1418" w:bottom="420" w:left="1418"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仿宋">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153"/>
        <w:tab w:val="right" w:pos="9190"/>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r>
      <w:rPr>
        <w:rFonts w:hint="eastAsia"/>
      </w:rPr>
      <w:tab/>
    </w:r>
    <w:r>
      <w:rPr>
        <w:rFonts w:hint="eastAsia"/>
      </w:rPr>
      <w:t xml:space="preserve">      浙江广厦建设职业技术大学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ascii="宋体" w:hAnsi="宋体" w:eastAsia="宋体" w:cs="宋体"/>
        <w:bCs/>
        <w:szCs w:val="18"/>
        <w:lang w:eastAsia="zh-CN"/>
      </w:rPr>
    </w:pPr>
    <w:r>
      <w:rPr>
        <w:rFonts w:hint="eastAsia" w:ascii="宋体" w:hAnsi="宋体" w:cs="宋体"/>
        <w:bCs/>
        <w:szCs w:val="18"/>
      </w:rPr>
      <w:t>浙江广厦建设职业技术大学</w:t>
    </w:r>
    <w:r>
      <w:rPr>
        <w:rFonts w:hint="eastAsia" w:ascii="宋体" w:hAnsi="宋体" w:cs="宋体"/>
        <w:bCs/>
        <w:szCs w:val="18"/>
        <w:lang w:eastAsia="zh-CN"/>
      </w:rPr>
      <w:t>无线耳机采购项目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Thousand"/>
      <w:lvlText w:val="%1、"/>
      <w:lvlJc w:val="left"/>
      <w:pPr>
        <w:tabs>
          <w:tab w:val="left" w:pos="0"/>
        </w:tabs>
        <w:ind w:left="720" w:hanging="720"/>
      </w:pPr>
      <w:rPr>
        <w:rFonts w:cs="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CF092B84"/>
    <w:multiLevelType w:val="multilevel"/>
    <w:tmpl w:val="CF092B84"/>
    <w:lvl w:ilvl="0" w:tentative="0">
      <w:start w:val="1"/>
      <w:numFmt w:val="chineseCountingThousand"/>
      <w:pStyle w:val="43"/>
      <w:lvlText w:val="第%1章"/>
      <w:lvlJc w:val="left"/>
      <w:pPr>
        <w:tabs>
          <w:tab w:val="left" w:pos="0"/>
        </w:tabs>
        <w:ind w:left="1440" w:hanging="1275"/>
      </w:pPr>
    </w:lvl>
    <w:lvl w:ilvl="1" w:tentative="0">
      <w:start w:val="1"/>
      <w:numFmt w:val="chineseCountingThousand"/>
      <w:lvlText w:val="%2、"/>
      <w:lvlJc w:val="left"/>
      <w:pPr>
        <w:tabs>
          <w:tab w:val="left" w:pos="0"/>
        </w:tabs>
        <w:ind w:left="1305" w:hanging="72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2">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pStyle w:val="6"/>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18F94E63"/>
    <w:multiLevelType w:val="multilevel"/>
    <w:tmpl w:val="18F94E63"/>
    <w:lvl w:ilvl="0" w:tentative="0">
      <w:start w:val="5"/>
      <w:numFmt w:val="japaneseCounting"/>
      <w:lvlText w:val="%1、"/>
      <w:lvlJc w:val="left"/>
      <w:pPr>
        <w:ind w:left="510" w:hanging="51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1B8A4A"/>
    <w:multiLevelType w:val="singleLevel"/>
    <w:tmpl w:val="321B8A4A"/>
    <w:lvl w:ilvl="0" w:tentative="0">
      <w:start w:val="2"/>
      <w:numFmt w:val="chineseCounting"/>
      <w:suff w:val="nothing"/>
      <w:lvlText w:val="%1、"/>
      <w:lvlJc w:val="left"/>
      <w:rPr>
        <w:rFonts w:hint="eastAsia"/>
      </w:rPr>
    </w:lvl>
  </w:abstractNum>
  <w:abstractNum w:abstractNumId="5">
    <w:nsid w:val="4718142E"/>
    <w:multiLevelType w:val="singleLevel"/>
    <w:tmpl w:val="4718142E"/>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noPunctuationKerning w:val="1"/>
  <w:characterSpacingControl w:val="doNotCompress"/>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AB525C"/>
    <w:rsid w:val="000F0840"/>
    <w:rsid w:val="001038F1"/>
    <w:rsid w:val="001335F1"/>
    <w:rsid w:val="00140989"/>
    <w:rsid w:val="00172710"/>
    <w:rsid w:val="002C0B7F"/>
    <w:rsid w:val="00404D7B"/>
    <w:rsid w:val="0044434B"/>
    <w:rsid w:val="004600A6"/>
    <w:rsid w:val="00495CCC"/>
    <w:rsid w:val="004A50B8"/>
    <w:rsid w:val="00516087"/>
    <w:rsid w:val="005D4645"/>
    <w:rsid w:val="00661D11"/>
    <w:rsid w:val="0066414E"/>
    <w:rsid w:val="006911F9"/>
    <w:rsid w:val="00712491"/>
    <w:rsid w:val="00917156"/>
    <w:rsid w:val="00AB525C"/>
    <w:rsid w:val="00AC2F47"/>
    <w:rsid w:val="00B0507A"/>
    <w:rsid w:val="00E05901"/>
    <w:rsid w:val="02EC77A7"/>
    <w:rsid w:val="03E25F14"/>
    <w:rsid w:val="03F62FB3"/>
    <w:rsid w:val="05A23B6A"/>
    <w:rsid w:val="0607278D"/>
    <w:rsid w:val="06262432"/>
    <w:rsid w:val="06994A8B"/>
    <w:rsid w:val="07A75AFD"/>
    <w:rsid w:val="080E29B4"/>
    <w:rsid w:val="083F6339"/>
    <w:rsid w:val="087E24E7"/>
    <w:rsid w:val="08B22B4C"/>
    <w:rsid w:val="08DD30AA"/>
    <w:rsid w:val="08F604F5"/>
    <w:rsid w:val="0E264489"/>
    <w:rsid w:val="0EA571D7"/>
    <w:rsid w:val="107065E4"/>
    <w:rsid w:val="11A1117F"/>
    <w:rsid w:val="123A7E2C"/>
    <w:rsid w:val="13930594"/>
    <w:rsid w:val="13B7478A"/>
    <w:rsid w:val="15104DA4"/>
    <w:rsid w:val="15341D4B"/>
    <w:rsid w:val="156A7E8D"/>
    <w:rsid w:val="1637067E"/>
    <w:rsid w:val="16437974"/>
    <w:rsid w:val="1727267F"/>
    <w:rsid w:val="17B13E58"/>
    <w:rsid w:val="17CD2EC1"/>
    <w:rsid w:val="195D345D"/>
    <w:rsid w:val="19991978"/>
    <w:rsid w:val="1B7C360D"/>
    <w:rsid w:val="1C9F4B75"/>
    <w:rsid w:val="1CC7020F"/>
    <w:rsid w:val="1D80679D"/>
    <w:rsid w:val="1E274ADE"/>
    <w:rsid w:val="1EA164C8"/>
    <w:rsid w:val="1F5E4560"/>
    <w:rsid w:val="202E5912"/>
    <w:rsid w:val="207B1F35"/>
    <w:rsid w:val="2177158E"/>
    <w:rsid w:val="21856A19"/>
    <w:rsid w:val="222E0510"/>
    <w:rsid w:val="23C24978"/>
    <w:rsid w:val="240336D4"/>
    <w:rsid w:val="25A67063"/>
    <w:rsid w:val="25B070BC"/>
    <w:rsid w:val="260F192D"/>
    <w:rsid w:val="26732D02"/>
    <w:rsid w:val="26876432"/>
    <w:rsid w:val="26CE6C89"/>
    <w:rsid w:val="27362170"/>
    <w:rsid w:val="275736F7"/>
    <w:rsid w:val="279039A4"/>
    <w:rsid w:val="27C30177"/>
    <w:rsid w:val="27F16527"/>
    <w:rsid w:val="281B7DC5"/>
    <w:rsid w:val="283C3D5E"/>
    <w:rsid w:val="28B64D0A"/>
    <w:rsid w:val="28C67585"/>
    <w:rsid w:val="2909567C"/>
    <w:rsid w:val="2967574D"/>
    <w:rsid w:val="2A0F5AD0"/>
    <w:rsid w:val="2A870A34"/>
    <w:rsid w:val="2AC4440C"/>
    <w:rsid w:val="2ACE0B4F"/>
    <w:rsid w:val="2B5B06AE"/>
    <w:rsid w:val="2BAB6B62"/>
    <w:rsid w:val="2CD4195A"/>
    <w:rsid w:val="2D062237"/>
    <w:rsid w:val="2DC42306"/>
    <w:rsid w:val="2F7D7FF1"/>
    <w:rsid w:val="30944267"/>
    <w:rsid w:val="31752E4D"/>
    <w:rsid w:val="32A759F3"/>
    <w:rsid w:val="33E35B95"/>
    <w:rsid w:val="34243802"/>
    <w:rsid w:val="346534AA"/>
    <w:rsid w:val="348B567A"/>
    <w:rsid w:val="34B25045"/>
    <w:rsid w:val="34C41D8A"/>
    <w:rsid w:val="35CA1537"/>
    <w:rsid w:val="3664336C"/>
    <w:rsid w:val="36657AD7"/>
    <w:rsid w:val="36DC3F1E"/>
    <w:rsid w:val="37321B4E"/>
    <w:rsid w:val="37E0408E"/>
    <w:rsid w:val="384F2405"/>
    <w:rsid w:val="38544A02"/>
    <w:rsid w:val="3AC94E4D"/>
    <w:rsid w:val="3AEB337C"/>
    <w:rsid w:val="3B2A1FFC"/>
    <w:rsid w:val="3BB32189"/>
    <w:rsid w:val="3C322F73"/>
    <w:rsid w:val="3CAE7382"/>
    <w:rsid w:val="3CBB3FD0"/>
    <w:rsid w:val="3D924E50"/>
    <w:rsid w:val="3E0C1DEE"/>
    <w:rsid w:val="3EBF7D89"/>
    <w:rsid w:val="3F320ADA"/>
    <w:rsid w:val="3FCC40CC"/>
    <w:rsid w:val="40410C71"/>
    <w:rsid w:val="40641F26"/>
    <w:rsid w:val="406B7C25"/>
    <w:rsid w:val="41143098"/>
    <w:rsid w:val="41770D1F"/>
    <w:rsid w:val="420C2899"/>
    <w:rsid w:val="432A674E"/>
    <w:rsid w:val="436D6006"/>
    <w:rsid w:val="453F61B2"/>
    <w:rsid w:val="461A60FE"/>
    <w:rsid w:val="46A47C03"/>
    <w:rsid w:val="470656AA"/>
    <w:rsid w:val="49D861A9"/>
    <w:rsid w:val="4A650F9C"/>
    <w:rsid w:val="4C0D7E6E"/>
    <w:rsid w:val="4C144BF7"/>
    <w:rsid w:val="4D48462C"/>
    <w:rsid w:val="4D53269F"/>
    <w:rsid w:val="4D9E1705"/>
    <w:rsid w:val="4DC74482"/>
    <w:rsid w:val="4FC64531"/>
    <w:rsid w:val="50AE14AA"/>
    <w:rsid w:val="517972C1"/>
    <w:rsid w:val="51B422A0"/>
    <w:rsid w:val="51D96160"/>
    <w:rsid w:val="55621D5F"/>
    <w:rsid w:val="55B4367E"/>
    <w:rsid w:val="561D19DF"/>
    <w:rsid w:val="562016BC"/>
    <w:rsid w:val="56694B42"/>
    <w:rsid w:val="56781A8E"/>
    <w:rsid w:val="573F5A2A"/>
    <w:rsid w:val="579B1375"/>
    <w:rsid w:val="59526A20"/>
    <w:rsid w:val="597518A3"/>
    <w:rsid w:val="5A0A2AC3"/>
    <w:rsid w:val="5A2669CA"/>
    <w:rsid w:val="5B6675FA"/>
    <w:rsid w:val="5BCD3B74"/>
    <w:rsid w:val="5C776A62"/>
    <w:rsid w:val="5CB67F6A"/>
    <w:rsid w:val="5CC23FE3"/>
    <w:rsid w:val="5E282CCF"/>
    <w:rsid w:val="5E806EE0"/>
    <w:rsid w:val="5FED28BF"/>
    <w:rsid w:val="604D7A4F"/>
    <w:rsid w:val="60521F6C"/>
    <w:rsid w:val="61D93C05"/>
    <w:rsid w:val="62772DA0"/>
    <w:rsid w:val="629D7845"/>
    <w:rsid w:val="63422D82"/>
    <w:rsid w:val="63A5738E"/>
    <w:rsid w:val="63B73291"/>
    <w:rsid w:val="64BA42BC"/>
    <w:rsid w:val="685456D9"/>
    <w:rsid w:val="687E036A"/>
    <w:rsid w:val="68FE5017"/>
    <w:rsid w:val="693D3BA7"/>
    <w:rsid w:val="6ADF4048"/>
    <w:rsid w:val="6BAB719E"/>
    <w:rsid w:val="6BBD79A5"/>
    <w:rsid w:val="6BCE69E9"/>
    <w:rsid w:val="6BE26622"/>
    <w:rsid w:val="6DC557E0"/>
    <w:rsid w:val="6E773C97"/>
    <w:rsid w:val="6F152DFC"/>
    <w:rsid w:val="6F763185"/>
    <w:rsid w:val="6F8B5E21"/>
    <w:rsid w:val="6FE03FA5"/>
    <w:rsid w:val="70162DF4"/>
    <w:rsid w:val="70FD057C"/>
    <w:rsid w:val="7158344A"/>
    <w:rsid w:val="71D8791D"/>
    <w:rsid w:val="721B7640"/>
    <w:rsid w:val="741B2627"/>
    <w:rsid w:val="74C8662B"/>
    <w:rsid w:val="74CC3216"/>
    <w:rsid w:val="74EB324F"/>
    <w:rsid w:val="75852AD2"/>
    <w:rsid w:val="75B57076"/>
    <w:rsid w:val="773B142A"/>
    <w:rsid w:val="77B77146"/>
    <w:rsid w:val="77E77217"/>
    <w:rsid w:val="789611F7"/>
    <w:rsid w:val="78CC7108"/>
    <w:rsid w:val="7A533772"/>
    <w:rsid w:val="7A554D40"/>
    <w:rsid w:val="7C5232BC"/>
    <w:rsid w:val="7C9C2C3F"/>
    <w:rsid w:val="7CB56E62"/>
    <w:rsid w:val="7D360A94"/>
    <w:rsid w:val="7DE02261"/>
    <w:rsid w:val="7FD43EA5"/>
    <w:rsid w:val="7FF1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spacing w:before="260" w:after="260" w:line="415" w:lineRule="auto"/>
      <w:outlineLvl w:val="1"/>
    </w:pPr>
    <w:rPr>
      <w:rFonts w:ascii="Cambria" w:hAnsi="Cambria" w:cs="Cambria"/>
      <w:b/>
      <w:bCs/>
      <w:sz w:val="32"/>
      <w:szCs w:val="32"/>
    </w:rPr>
  </w:style>
  <w:style w:type="paragraph" w:styleId="7">
    <w:name w:val="heading 6"/>
    <w:basedOn w:val="1"/>
    <w:next w:val="1"/>
    <w:qFormat/>
    <w:uiPriority w:val="0"/>
    <w:pPr>
      <w:keepNext/>
      <w:keepLines/>
      <w:spacing w:before="240" w:after="64" w:line="312" w:lineRule="auto"/>
      <w:outlineLvl w:val="5"/>
    </w:pPr>
    <w:rPr>
      <w:rFonts w:ascii="Arial" w:hAnsi="Arial" w:eastAsia="黑体"/>
      <w:b/>
      <w:sz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pPr>
      <w:spacing w:after="120"/>
    </w:pPr>
    <w:rPr>
      <w:sz w:val="28"/>
    </w:rPr>
  </w:style>
  <w:style w:type="paragraph" w:styleId="4">
    <w:name w:val="toc 6"/>
    <w:basedOn w:val="1"/>
    <w:next w:val="1"/>
    <w:qFormat/>
    <w:uiPriority w:val="0"/>
    <w:pPr>
      <w:ind w:left="2100"/>
    </w:pPr>
  </w:style>
  <w:style w:type="paragraph" w:styleId="8">
    <w:name w:val="Normal Indent"/>
    <w:basedOn w:val="1"/>
    <w:next w:val="3"/>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List Bullet 3"/>
    <w:basedOn w:val="1"/>
    <w:qFormat/>
    <w:uiPriority w:val="0"/>
    <w:pPr>
      <w:ind w:hanging="200"/>
    </w:pPr>
    <w:rPr>
      <w:sz w:val="28"/>
    </w:rPr>
  </w:style>
  <w:style w:type="paragraph" w:styleId="11">
    <w:name w:val="Body Text Indent"/>
    <w:basedOn w:val="1"/>
    <w:next w:val="8"/>
    <w:qFormat/>
    <w:uiPriority w:val="0"/>
    <w:pPr>
      <w:spacing w:line="200" w:lineRule="exact"/>
      <w:ind w:firstLine="301"/>
    </w:pPr>
    <w:rPr>
      <w:rFonts w:ascii="宋体" w:hAnsi="宋体" w:cs="Courier New"/>
      <w:spacing w:val="-4"/>
      <w:sz w:val="18"/>
      <w:szCs w:val="20"/>
    </w:rPr>
  </w:style>
  <w:style w:type="paragraph" w:styleId="12">
    <w:name w:val="Plain Text"/>
    <w:basedOn w:val="1"/>
    <w:next w:val="1"/>
    <w:qFormat/>
    <w:uiPriority w:val="0"/>
    <w:pPr>
      <w:spacing w:before="156" w:beforeLines="50" w:after="156" w:afterLines="50" w:line="400" w:lineRule="exac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footnote text"/>
    <w:basedOn w:val="1"/>
    <w:qFormat/>
    <w:uiPriority w:val="0"/>
    <w:pPr>
      <w:jc w:val="left"/>
    </w:pPr>
    <w:rPr>
      <w:kern w:val="1"/>
      <w:sz w:val="18"/>
    </w:rPr>
  </w:style>
  <w:style w:type="paragraph" w:styleId="18">
    <w:name w:val="toc 2"/>
    <w:basedOn w:val="1"/>
    <w:next w:val="1"/>
    <w:qFormat/>
    <w:uiPriority w:val="0"/>
    <w:pPr>
      <w:ind w:left="420"/>
    </w:pPr>
  </w:style>
  <w:style w:type="paragraph" w:styleId="19">
    <w:name w:val="Normal (Web)"/>
    <w:basedOn w:val="1"/>
    <w:qFormat/>
    <w:uiPriority w:val="0"/>
    <w:pPr>
      <w:spacing w:after="150"/>
      <w:jc w:val="left"/>
    </w:pPr>
    <w:rPr>
      <w:kern w:val="0"/>
      <w:sz w:val="24"/>
    </w:rPr>
  </w:style>
  <w:style w:type="paragraph" w:styleId="20">
    <w:name w:val="Body Text First Indent 2"/>
    <w:basedOn w:val="11"/>
    <w:qFormat/>
    <w:uiPriority w:val="99"/>
    <w:pPr>
      <w:spacing w:after="120" w:line="240" w:lineRule="auto"/>
      <w:ind w:left="420" w:leftChars="200" w:firstLine="420" w:firstLineChars="200"/>
    </w:pPr>
    <w:rPr>
      <w:sz w:val="21"/>
      <w:szCs w:val="24"/>
    </w:rPr>
  </w:style>
  <w:style w:type="character" w:styleId="23">
    <w:name w:val="Strong"/>
    <w:basedOn w:val="22"/>
    <w:qFormat/>
    <w:uiPriority w:val="0"/>
    <w:rPr>
      <w:b/>
      <w:bCs/>
    </w:rPr>
  </w:style>
  <w:style w:type="character" w:styleId="24">
    <w:name w:val="page number"/>
    <w:qFormat/>
    <w:uiPriority w:val="0"/>
  </w:style>
  <w:style w:type="character" w:styleId="25">
    <w:name w:val="FollowedHyperlink"/>
    <w:basedOn w:val="22"/>
    <w:qFormat/>
    <w:uiPriority w:val="0"/>
    <w:rPr>
      <w:color w:val="222222"/>
      <w:u w:val="none"/>
    </w:rPr>
  </w:style>
  <w:style w:type="character" w:styleId="26">
    <w:name w:val="HTML Definition"/>
    <w:basedOn w:val="22"/>
    <w:qFormat/>
    <w:uiPriority w:val="0"/>
    <w:rPr>
      <w:i/>
      <w:iCs/>
    </w:rPr>
  </w:style>
  <w:style w:type="character" w:styleId="27">
    <w:name w:val="Hyperlink"/>
    <w:basedOn w:val="22"/>
    <w:qFormat/>
    <w:uiPriority w:val="0"/>
    <w:rPr>
      <w:color w:val="222222"/>
      <w:u w:val="none"/>
    </w:rPr>
  </w:style>
  <w:style w:type="character" w:styleId="28">
    <w:name w:val="HTML Code"/>
    <w:basedOn w:val="22"/>
    <w:qFormat/>
    <w:uiPriority w:val="0"/>
    <w:rPr>
      <w:rFonts w:hint="default" w:ascii="Consolas" w:hAnsi="Consolas" w:eastAsia="Consolas" w:cs="Consolas"/>
      <w:color w:val="C7254E"/>
      <w:sz w:val="21"/>
      <w:szCs w:val="21"/>
      <w:shd w:val="clear" w:color="auto" w:fill="F9F2F4"/>
    </w:rPr>
  </w:style>
  <w:style w:type="character" w:styleId="29">
    <w:name w:val="HTML Keyboard"/>
    <w:basedOn w:val="22"/>
    <w:qFormat/>
    <w:uiPriority w:val="0"/>
    <w:rPr>
      <w:rFonts w:ascii="Consolas" w:hAnsi="Consolas" w:eastAsia="Consolas" w:cs="Consolas"/>
      <w:color w:val="FFFFFF"/>
      <w:sz w:val="21"/>
      <w:szCs w:val="21"/>
      <w:shd w:val="clear" w:color="auto" w:fill="333333"/>
    </w:rPr>
  </w:style>
  <w:style w:type="character" w:styleId="30">
    <w:name w:val="HTML Sample"/>
    <w:basedOn w:val="22"/>
    <w:qFormat/>
    <w:uiPriority w:val="0"/>
    <w:rPr>
      <w:rFonts w:hint="default" w:ascii="Consolas" w:hAnsi="Consolas" w:eastAsia="Consolas" w:cs="Consolas"/>
      <w:sz w:val="21"/>
      <w:szCs w:val="21"/>
    </w:rPr>
  </w:style>
  <w:style w:type="paragraph" w:customStyle="1" w:styleId="31">
    <w:name w:val="样式 表格正文 + 两端对齐"/>
    <w:basedOn w:val="1"/>
    <w:next w:val="32"/>
    <w:qFormat/>
    <w:uiPriority w:val="0"/>
    <w:pPr>
      <w:spacing w:line="300" w:lineRule="auto"/>
    </w:pPr>
  </w:style>
  <w:style w:type="paragraph" w:customStyle="1" w:styleId="32">
    <w:name w:val="正文1"/>
    <w:basedOn w:val="1"/>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33">
    <w:name w:val="正文首行缩进2字符"/>
    <w:basedOn w:val="1"/>
    <w:qFormat/>
    <w:uiPriority w:val="99"/>
    <w:pPr>
      <w:spacing w:line="360" w:lineRule="auto"/>
      <w:ind w:firstLine="200" w:firstLineChars="200"/>
    </w:pPr>
    <w:rPr>
      <w:rFonts w:ascii="Calibri" w:hAnsi="Calibri" w:eastAsia="仿宋_GB2312"/>
      <w:kern w:val="0"/>
      <w:sz w:val="28"/>
      <w:szCs w:val="21"/>
    </w:rPr>
  </w:style>
  <w:style w:type="paragraph" w:customStyle="1" w:styleId="34">
    <w:name w:val="章正文"/>
    <w:basedOn w:val="1"/>
    <w:qFormat/>
    <w:uiPriority w:val="0"/>
    <w:pPr>
      <w:spacing w:after="120" w:line="300" w:lineRule="auto"/>
      <w:ind w:firstLine="480"/>
    </w:pPr>
    <w:rPr>
      <w:rFonts w:ascii="Helvetica;Arial" w:hAnsi="Helvetica;Arial" w:cs="Helvetica;Arial"/>
      <w:kern w:val="0"/>
    </w:rPr>
  </w:style>
  <w:style w:type="paragraph" w:customStyle="1" w:styleId="35">
    <w:name w:val="正文首行缩进 21"/>
    <w:basedOn w:val="11"/>
    <w:qFormat/>
    <w:uiPriority w:val="0"/>
    <w:pPr>
      <w:spacing w:after="120" w:line="240" w:lineRule="auto"/>
      <w:ind w:left="420" w:firstLine="420"/>
    </w:pPr>
    <w:rPr>
      <w:sz w:val="21"/>
      <w:szCs w:val="24"/>
    </w:rPr>
  </w:style>
  <w:style w:type="paragraph" w:customStyle="1" w:styleId="36">
    <w:name w:val="正文首行缩进1"/>
    <w:basedOn w:val="3"/>
    <w:next w:val="4"/>
    <w:qFormat/>
    <w:uiPriority w:val="0"/>
    <w:pPr>
      <w:ind w:firstLine="420"/>
    </w:pPr>
    <w:rPr>
      <w:rFonts w:ascii="Arial" w:hAnsi="Arial" w:cs="Arial"/>
    </w:rPr>
  </w:style>
  <w:style w:type="character" w:customStyle="1" w:styleId="37">
    <w:name w:val="标题 2 Char1"/>
    <w:qFormat/>
    <w:uiPriority w:val="0"/>
    <w:rPr>
      <w:rFonts w:ascii="Arial" w:hAnsi="Arial" w:eastAsia="宋体" w:cs="Times New Roman"/>
      <w:b/>
      <w:bCs/>
      <w:sz w:val="28"/>
      <w:szCs w:val="32"/>
    </w:rPr>
  </w:style>
  <w:style w:type="character" w:customStyle="1" w:styleId="38">
    <w:name w:val="页码1"/>
    <w:qFormat/>
    <w:uiPriority w:val="0"/>
  </w:style>
  <w:style w:type="character" w:customStyle="1" w:styleId="39">
    <w:name w:val="标题 2 字符"/>
    <w:qFormat/>
    <w:uiPriority w:val="0"/>
    <w:rPr>
      <w:rFonts w:ascii="Cambria" w:hAnsi="Cambria" w:eastAsia="宋体" w:cs="Times New Roman"/>
      <w:b/>
      <w:bCs/>
      <w:kern w:val="2"/>
      <w:sz w:val="32"/>
      <w:szCs w:val="32"/>
    </w:rPr>
  </w:style>
  <w:style w:type="character" w:customStyle="1" w:styleId="40">
    <w:name w:val="font11"/>
    <w:qFormat/>
    <w:uiPriority w:val="0"/>
    <w:rPr>
      <w:rFonts w:ascii="Times New Roman" w:hAnsi="Times New Roman" w:cs="Times New Roman"/>
      <w:color w:val="000000"/>
      <w:sz w:val="24"/>
      <w:szCs w:val="24"/>
      <w:u w:val="none"/>
    </w:rPr>
  </w:style>
  <w:style w:type="character" w:customStyle="1" w:styleId="41">
    <w:name w:val="font31"/>
    <w:qFormat/>
    <w:uiPriority w:val="0"/>
    <w:rPr>
      <w:rFonts w:ascii="宋体" w:hAnsi="宋体" w:eastAsia="宋体" w:cs="宋体"/>
      <w:color w:val="000000"/>
      <w:sz w:val="24"/>
      <w:szCs w:val="24"/>
      <w:u w:val="none"/>
      <w:vertAlign w:val="superscript"/>
    </w:rPr>
  </w:style>
  <w:style w:type="character" w:customStyle="1" w:styleId="42">
    <w:name w:val="NormalCharacter"/>
    <w:qFormat/>
    <w:uiPriority w:val="0"/>
  </w:style>
  <w:style w:type="paragraph" w:customStyle="1" w:styleId="43">
    <w:name w:val="列表编号1"/>
    <w:basedOn w:val="1"/>
    <w:qFormat/>
    <w:uiPriority w:val="0"/>
    <w:pPr>
      <w:widowControl/>
      <w:numPr>
        <w:ilvl w:val="0"/>
        <w:numId w:val="2"/>
      </w:numPr>
      <w:tabs>
        <w:tab w:val="left" w:pos="454"/>
        <w:tab w:val="left" w:pos="720"/>
      </w:tabs>
      <w:spacing w:after="156"/>
      <w:ind w:left="1354" w:hanging="284"/>
      <w:jc w:val="left"/>
    </w:pPr>
    <w:rPr>
      <w:kern w:val="0"/>
      <w:sz w:val="24"/>
      <w:szCs w:val="20"/>
    </w:rPr>
  </w:style>
  <w:style w:type="paragraph" w:customStyle="1" w:styleId="44">
    <w:name w:val="纯文本1"/>
    <w:basedOn w:val="1"/>
    <w:next w:val="1"/>
    <w:qFormat/>
    <w:uiPriority w:val="0"/>
    <w:pPr>
      <w:spacing w:before="156" w:after="156" w:line="400" w:lineRule="exact"/>
    </w:pPr>
    <w:rPr>
      <w:rFonts w:ascii="宋体" w:hAnsi="宋体" w:cs="Courier New"/>
      <w:sz w:val="24"/>
    </w:rPr>
  </w:style>
  <w:style w:type="paragraph" w:customStyle="1" w:styleId="45">
    <w:name w:val="正文文本缩进 31"/>
    <w:basedOn w:val="1"/>
    <w:qFormat/>
    <w:uiPriority w:val="0"/>
    <w:pPr>
      <w:snapToGrid w:val="0"/>
      <w:ind w:firstLine="480"/>
      <w:jc w:val="left"/>
    </w:pPr>
    <w:rPr>
      <w:rFonts w:ascii="仿宋_GB2312;仿宋" w:hAnsi="仿宋_GB2312;仿宋" w:eastAsia="仿宋_GB2312;仿宋" w:cs="宋体"/>
      <w:color w:val="000000"/>
      <w:sz w:val="24"/>
    </w:rPr>
  </w:style>
  <w:style w:type="paragraph" w:customStyle="1" w:styleId="46">
    <w:name w:val="默认段落字体 Para Char Char Char Char Char Char Char Char Char1 Char Char Char Char"/>
    <w:basedOn w:val="1"/>
    <w:qFormat/>
    <w:uiPriority w:val="0"/>
    <w:rPr>
      <w:rFonts w:ascii="Tahoma" w:hAnsi="Tahoma" w:cs="Tahoma"/>
      <w:sz w:val="24"/>
      <w:szCs w:val="20"/>
    </w:rPr>
  </w:style>
  <w:style w:type="paragraph" w:styleId="47">
    <w:name w:val="List Paragraph"/>
    <w:basedOn w:val="1"/>
    <w:qFormat/>
    <w:uiPriority w:val="99"/>
    <w:pPr>
      <w:ind w:firstLine="420" w:firstLineChars="200"/>
    </w:pPr>
  </w:style>
  <w:style w:type="character" w:customStyle="1" w:styleId="48">
    <w:name w:val="font41"/>
    <w:basedOn w:val="22"/>
    <w:qFormat/>
    <w:uiPriority w:val="0"/>
    <w:rPr>
      <w:rFonts w:ascii="Tahoma" w:hAnsi="Tahoma" w:eastAsia="Tahoma" w:cs="Tahoma"/>
      <w:color w:val="000000"/>
      <w:sz w:val="18"/>
      <w:szCs w:val="18"/>
      <w:u w:val="none"/>
    </w:rPr>
  </w:style>
  <w:style w:type="character" w:customStyle="1" w:styleId="49">
    <w:name w:val="font5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000000"/>
      <w:sz w:val="20"/>
      <w:szCs w:val="20"/>
      <w:u w:val="none"/>
    </w:rPr>
  </w:style>
  <w:style w:type="character" w:customStyle="1" w:styleId="51">
    <w:name w:val="font01"/>
    <w:basedOn w:val="22"/>
    <w:qFormat/>
    <w:uiPriority w:val="0"/>
    <w:rPr>
      <w:rFonts w:hint="eastAsia" w:ascii="微软雅黑" w:hAnsi="微软雅黑" w:eastAsia="微软雅黑" w:cs="微软雅黑"/>
      <w:color w:val="000000"/>
      <w:sz w:val="18"/>
      <w:szCs w:val="18"/>
      <w:u w:val="none"/>
    </w:rPr>
  </w:style>
  <w:style w:type="paragraph" w:customStyle="1" w:styleId="52">
    <w:name w:val="内文正文"/>
    <w:qFormat/>
    <w:uiPriority w:val="0"/>
    <w:pPr>
      <w:adjustRightInd w:val="0"/>
      <w:snapToGrid w:val="0"/>
      <w:spacing w:line="400" w:lineRule="exact"/>
      <w:ind w:firstLine="200" w:firstLineChars="200"/>
    </w:pPr>
    <w:rPr>
      <w:rFonts w:ascii="Arial" w:hAnsi="Arial" w:eastAsia="宋体" w:cs="Times New Roman"/>
      <w:color w:val="000000"/>
      <w:kern w:val="2"/>
      <w:sz w:val="21"/>
      <w:szCs w:val="21"/>
      <w:lang w:val="en-US" w:eastAsia="zh-CN" w:bidi="ar-SA"/>
    </w:rPr>
  </w:style>
  <w:style w:type="paragraph" w:customStyle="1" w:styleId="53">
    <w:name w:val="表格文字"/>
    <w:next w:val="3"/>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4">
    <w:name w:val="font21"/>
    <w:basedOn w:val="22"/>
    <w:qFormat/>
    <w:uiPriority w:val="0"/>
    <w:rPr>
      <w:rFonts w:hint="eastAsia" w:ascii="微软雅黑" w:hAnsi="微软雅黑" w:eastAsia="微软雅黑" w:cs="微软雅黑"/>
      <w:color w:val="000000"/>
      <w:sz w:val="18"/>
      <w:szCs w:val="18"/>
      <w:u w:val="none"/>
    </w:rPr>
  </w:style>
  <w:style w:type="paragraph" w:customStyle="1" w:styleId="55">
    <w:name w:val="正文2"/>
    <w:basedOn w:val="1"/>
    <w:qFormat/>
    <w:uiPriority w:val="0"/>
    <w:pPr>
      <w:spacing w:before="156" w:line="360" w:lineRule="auto"/>
      <w:ind w:firstLine="510" w:firstLineChars="200"/>
    </w:pPr>
    <w:rPr>
      <w:sz w:val="24"/>
      <w:szCs w:val="20"/>
    </w:rPr>
  </w:style>
  <w:style w:type="character" w:customStyle="1" w:styleId="56">
    <w:name w:val="first-child"/>
    <w:basedOn w:val="22"/>
    <w:qFormat/>
    <w:uiPriority w:val="0"/>
  </w:style>
  <w:style w:type="character" w:customStyle="1" w:styleId="57">
    <w:name w:val="layui-this"/>
    <w:basedOn w:val="22"/>
    <w:qFormat/>
    <w:uiPriority w:val="0"/>
    <w:rPr>
      <w:bdr w:val="single" w:color="EEEEEE" w:sz="6" w:space="0"/>
      <w:shd w:val="clear" w:color="auto" w:fill="FFFFFF"/>
    </w:rPr>
  </w:style>
  <w:style w:type="character" w:customStyle="1" w:styleId="58">
    <w:name w:val="hover11"/>
    <w:basedOn w:val="22"/>
    <w:qFormat/>
    <w:uiPriority w:val="0"/>
    <w:rPr>
      <w:color w:val="1258AD"/>
      <w:u w:val="none"/>
      <w:bdr w:val="single" w:color="1258AD" w:sz="6" w:space="0"/>
    </w:rPr>
  </w:style>
  <w:style w:type="character" w:customStyle="1" w:styleId="59">
    <w:name w:val="font91"/>
    <w:qFormat/>
    <w:uiPriority w:val="0"/>
    <w:rPr>
      <w:rFonts w:hint="eastAsia" w:ascii="宋体" w:hAnsi="宋体" w:eastAsia="宋体" w:cs="宋体"/>
      <w:color w:val="000000"/>
      <w:sz w:val="24"/>
      <w:szCs w:val="24"/>
      <w:u w:val="none"/>
    </w:rPr>
  </w:style>
  <w:style w:type="paragraph" w:customStyle="1" w:styleId="60">
    <w:name w:val="样式 正文文本缩进 + 左  0 字符"/>
    <w:basedOn w:val="11"/>
    <w:qFormat/>
    <w:uiPriority w:val="99"/>
    <w:pPr>
      <w:spacing w:line="360" w:lineRule="auto"/>
      <w:ind w:firstLine="250" w:firstLineChars="25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2260</Words>
  <Characters>12884</Characters>
  <Lines>107</Lines>
  <Paragraphs>30</Paragraphs>
  <TotalTime>11</TotalTime>
  <ScaleCrop>false</ScaleCrop>
  <LinksUpToDate>false</LinksUpToDate>
  <CharactersWithSpaces>15114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2021-07-13T16:56:00Z</dcterms:created>
  <dc:creator>vilibook</dc:creator>
  <cp:lastModifiedBy>Administrator</cp:lastModifiedBy>
  <cp:lastPrinted>2021-11-17T06:35:32Z</cp:lastPrinted>
  <dcterms:modified xsi:type="dcterms:W3CDTF">2021-11-17T06:59:57Z</dcterms:modified>
  <dc:title>浙江泰宁建设工程管理咨询有限公司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84714BB03D9B4EB4A4830AE564831152</vt:lpwstr>
  </property>
  <property fmtid="{D5CDD505-2E9C-101B-9397-08002B2CF9AE}" pid="3" name="KSOProductBuildVer">
    <vt:lpwstr>2052-11.1.0.11045</vt:lpwstr>
  </property>
</Properties>
</file>