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BBF80">
      <w:pPr>
        <w:jc w:val="center"/>
        <w:rPr>
          <w:rStyle w:val="37"/>
          <w:rFonts w:eastAsia="方正小标宋简体"/>
          <w:bCs w:val="0"/>
          <w:color w:val="auto"/>
          <w:sz w:val="36"/>
          <w:szCs w:val="36"/>
        </w:rPr>
      </w:pPr>
      <w:bookmarkStart w:id="11" w:name="_GoBack"/>
      <w:bookmarkEnd w:id="11"/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7"/>
          <w:rFonts w:eastAsia="仿宋_GB2312"/>
          <w:b w:val="0"/>
          <w:color w:val="auto"/>
          <w:sz w:val="32"/>
          <w:szCs w:val="32"/>
        </w:rPr>
        <w:t>（单位提名）</w:t>
      </w:r>
    </w:p>
    <w:p w14:paraId="57EE7AFF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提名奖项：（填自然科学奖）</w:t>
      </w:r>
    </w:p>
    <w:tbl>
      <w:tblPr>
        <w:tblStyle w:val="17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9"/>
        <w:gridCol w:w="6657"/>
      </w:tblGrid>
      <w:tr w14:paraId="0FB3C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849" w:type="dxa"/>
            <w:vAlign w:val="center"/>
          </w:tcPr>
          <w:p w14:paraId="72F17F3F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657" w:type="dxa"/>
            <w:vAlign w:val="center"/>
          </w:tcPr>
          <w:p w14:paraId="35AB8255">
            <w:pPr>
              <w:spacing w:line="240" w:lineRule="auto"/>
              <w:jc w:val="center"/>
              <w:rPr>
                <w:rStyle w:val="37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蛇六谷抑制三阴性乳腺癌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的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靶基因和靶通路机制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研究</w:t>
            </w:r>
          </w:p>
        </w:tc>
      </w:tr>
      <w:tr w14:paraId="140EB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849" w:type="dxa"/>
            <w:vAlign w:val="center"/>
          </w:tcPr>
          <w:p w14:paraId="7EDF8595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657" w:type="dxa"/>
            <w:vAlign w:val="center"/>
          </w:tcPr>
          <w:p w14:paraId="6014ABC6">
            <w:pPr>
              <w:spacing w:line="240" w:lineRule="auto"/>
              <w:jc w:val="center"/>
              <w:rPr>
                <w:rStyle w:val="37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二等奖</w:t>
            </w:r>
          </w:p>
        </w:tc>
      </w:tr>
      <w:tr w14:paraId="147FC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</w:trPr>
        <w:tc>
          <w:tcPr>
            <w:tcW w:w="1849" w:type="dxa"/>
            <w:vAlign w:val="center"/>
          </w:tcPr>
          <w:p w14:paraId="132F9015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2B73997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657" w:type="dxa"/>
            <w:vAlign w:val="center"/>
          </w:tcPr>
          <w:p w14:paraId="0C0E3DAB">
            <w:pPr>
              <w:wordWrap w:val="0"/>
              <w:spacing w:line="440" w:lineRule="exact"/>
              <w:ind w:left="-210" w:leftChars="-100" w:firstLine="240" w:firstLineChars="1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代表性论文目录</w:t>
            </w:r>
          </w:p>
          <w:p w14:paraId="3F665FC9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李海龙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高秀飞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*，王蓓，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刘培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.蛇六谷对三阴性乳腺癌MDA-MB-231细胞增殖和侵袭的影响.浙江中医杂志，2016.51（4）：283-284.</w:t>
            </w:r>
          </w:p>
          <w:p w14:paraId="0CF28D69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ChunyuWu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bookmarkStart w:id="0" w:name="bau0010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ShengliangQiu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bookmarkEnd w:id="0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bookmarkStart w:id="1" w:name="bau0015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PeiLiu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bookmarkEnd w:id="1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bookmarkStart w:id="2" w:name="bau0020"/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YuqingGe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</w:t>
            </w:r>
            <w:bookmarkEnd w:id="2"/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Xiufei Gao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.Rhizoma Amorphophalli inhibits TNBC cell proliferation, migration, invasion and metastasis through the PI3K/Akt/mTOR pathway.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Journal of  Ethnopharmacology.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"http://www.sciencedirect.com/science/journal/03788741/211/supp/C" \o "Go to table of contents for this volume/issue"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Volume 211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 30 January 2018:89-100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34593AF3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高秀飞，刘培，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葛宇清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.蛇六谷和莪术提取物对小鼠乳腺癌肺转移模型的影响.浙江中医杂志，2018.53（8）：572-575.</w:t>
            </w:r>
          </w:p>
          <w:p w14:paraId="30F02B76">
            <w:pPr>
              <w:pStyle w:val="14"/>
              <w:numPr>
                <w:ilvl w:val="0"/>
                <w:numId w:val="1"/>
              </w:numPr>
              <w:spacing w:line="240" w:lineRule="auto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ChunyuWu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Mingcang Chen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Qiuhua Zhang,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"http://www.sciencedirect.com/science/article/pii/S0378874117325151" \l "!"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Linghong Yu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,Jiayan Zhu,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Xiufei Gao*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.Genomic and GeneChip Expression Profiling Reveals the Inhibitory Effects of Amorphophalli Rhizoma in TNBC cells.Journal of  Ethnopharmacology.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instrText xml:space="preserve"> HYPERLINK "http://www.sciencedirect.com/science/journal/03788741/211/supp/C" \o "Go to table of contents for this volume/issue" </w:instrTex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Volume 23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5, 10 May,2019: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206-218.</w:t>
            </w:r>
          </w:p>
          <w:p w14:paraId="152DDAB2">
            <w:pPr>
              <w:pStyle w:val="13"/>
              <w:widowControl/>
              <w:numPr>
                <w:ilvl w:val="0"/>
                <w:numId w:val="1"/>
              </w:numPr>
              <w:spacing w:line="240" w:lineRule="auto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Zimei Yan</w:t>
            </w:r>
            <w:bookmarkStart w:id="3" w:name="_Hlk33562416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  <w:bookmarkEnd w:id="3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,1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 Qiuhua Zhang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 Linghong Yu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 Jiayan Zhu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 Yi Cao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Xiufei Gao</w:t>
            </w:r>
            <w:bookmarkStart w:id="4" w:name="_Hlk37537294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b</w:t>
            </w:r>
            <w:bookmarkEnd w:id="4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*</w:t>
            </w:r>
            <w:bookmarkStart w:id="5" w:name="_Hlk41394348"/>
            <w:bookmarkStart w:id="6" w:name="OLE_LINK48"/>
            <w:bookmarkStart w:id="7" w:name="OLE_LINK49"/>
            <w:bookmarkStart w:id="8" w:name="OLE_LINK50"/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.The signaling pathways and targets of traditional Chinese medicine and natural medicine in triple-negative breast cancer</w:t>
            </w:r>
            <w:bookmarkEnd w:id="5"/>
            <w:bookmarkEnd w:id="6"/>
            <w:bookmarkEnd w:id="7"/>
            <w:bookmarkEnd w:id="8"/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.Journal of  Ethnopharmacology.JAN 10 2021；264：113249.</w:t>
            </w:r>
          </w:p>
          <w:p w14:paraId="0C7AD8A0">
            <w:pPr>
              <w:pStyle w:val="13"/>
              <w:widowControl/>
              <w:numPr>
                <w:ilvl w:val="0"/>
                <w:numId w:val="1"/>
              </w:numPr>
              <w:spacing w:line="240" w:lineRule="auto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Hailong Li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Mingcang Chen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Zimei Yang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huchu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Xu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inghong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Yu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, J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iaqing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Song , M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engqian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Wang,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iufei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Gao *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. Amorphophalli Rhizoma inhibits breast cancer growth, proliferation, migration, and invasion via the PI3K/AKT pathway.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Journal of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Ethnopharmacology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2022 Mar 25：286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2ED23901">
            <w:pPr>
              <w:pStyle w:val="14"/>
              <w:numPr>
                <w:ilvl w:val="0"/>
                <w:numId w:val="1"/>
              </w:numPr>
              <w:spacing w:before="0" w:beforeAutospacing="0" w:after="0" w:afterAutospacing="0" w:line="240" w:lineRule="auto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iufei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Gao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Zimei Yang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huchu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Xu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inghong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Yu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,M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engqian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Wang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iaqing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Song 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Chunyu Wu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*,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2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Mingcang Chen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*. GeneChip expression profiling identified OLFML2A as a potential therapeutic target in TNBC cells. Ann Transl Med 2022;10(6):274. </w:t>
            </w:r>
          </w:p>
          <w:p w14:paraId="50B2B153">
            <w:pPr>
              <w:pStyle w:val="14"/>
              <w:numPr>
                <w:ilvl w:val="0"/>
                <w:numId w:val="1"/>
              </w:numPr>
              <w:spacing w:before="0" w:beforeAutospacing="0" w:after="0" w:afterAutospacing="0" w:line="240" w:lineRule="auto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inghogn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Yu 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inghong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Yu ,C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huchu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Xu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, M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engqian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Wang, J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iaqing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Song ,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iufei 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Gao *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The expression of androgen receptor in triple-negative breast cancer and the effect of a traditional Chinese medicine formula on disease-free survival. Gland Surg 2022;11(11):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1772- 1783. </w:t>
            </w:r>
          </w:p>
          <w:p w14:paraId="76E85DB0">
            <w:pPr>
              <w:spacing w:line="360" w:lineRule="auto"/>
              <w:ind w:left="240" w:hanging="240" w:hangingChars="100"/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2"/>
                <w:lang w:bidi="ar"/>
              </w:rPr>
              <w:t>二、知识产权目录(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国家实用新型专利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2"/>
                <w:lang w:bidi="ar"/>
              </w:rPr>
              <w:t>)</w:t>
            </w:r>
          </w:p>
          <w:p w14:paraId="155B7706">
            <w:pPr>
              <w:spacing w:line="240" w:lineRule="auto"/>
              <w:ind w:firstLine="482" w:firstLineChars="2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李海龙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：一种可对三阴性乳腺癌抑制的蛇六谷提取物制备装置，专利号：ZL 2024 2 0029261.5。</w:t>
            </w:r>
          </w:p>
        </w:tc>
      </w:tr>
      <w:tr w14:paraId="5AF04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849" w:type="dxa"/>
            <w:tcBorders>
              <w:right w:val="single" w:color="auto" w:sz="4" w:space="0"/>
            </w:tcBorders>
            <w:vAlign w:val="center"/>
          </w:tcPr>
          <w:p w14:paraId="0658566C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657" w:type="dxa"/>
            <w:tcBorders>
              <w:left w:val="single" w:color="auto" w:sz="4" w:space="0"/>
            </w:tcBorders>
            <w:vAlign w:val="center"/>
          </w:tcPr>
          <w:p w14:paraId="6ED1632A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高秀飞，排名1，主任医师，</w:t>
            </w:r>
            <w:bookmarkStart w:id="9" w:name="OLE_LINK2"/>
            <w:bookmarkStart w:id="10" w:name="OLE_LINK3"/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浙江中医药大学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附属第一医院</w:t>
            </w:r>
          </w:p>
          <w:bookmarkEnd w:id="9"/>
          <w:bookmarkEnd w:id="10"/>
          <w:p w14:paraId="01FD3224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李海龙，排名2，副教授，浙江广厦建设职业技术大学</w:t>
            </w:r>
          </w:p>
          <w:p w14:paraId="4962FC96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余青红，排名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博士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研究生，浙江中医药大学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附属第一医院</w:t>
            </w:r>
          </w:p>
          <w:p w14:paraId="5C8E339F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徐楚楚，排名4，住院医师，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浙江中医药大学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附属第一医院</w:t>
            </w:r>
          </w:p>
          <w:p w14:paraId="2090B8DF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刘培，排名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，助理研究员，浙江中医药大学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附属第一医院</w:t>
            </w:r>
          </w:p>
        </w:tc>
      </w:tr>
      <w:tr w14:paraId="0AE64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849" w:type="dxa"/>
            <w:tcBorders>
              <w:right w:val="single" w:color="auto" w:sz="4" w:space="0"/>
            </w:tcBorders>
            <w:vAlign w:val="center"/>
          </w:tcPr>
          <w:p w14:paraId="4E9DF70D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657" w:type="dxa"/>
            <w:tcBorders>
              <w:left w:val="single" w:color="auto" w:sz="4" w:space="0"/>
            </w:tcBorders>
            <w:vAlign w:val="center"/>
          </w:tcPr>
          <w:p w14:paraId="575E96EF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浙江中医药大学附属第一医院</w:t>
            </w:r>
          </w:p>
          <w:p w14:paraId="1BD8170D">
            <w:pPr>
              <w:spacing w:line="240" w:lineRule="auto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浙江广厦建设职业技术大学</w:t>
            </w:r>
          </w:p>
        </w:tc>
      </w:tr>
      <w:tr w14:paraId="56513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849" w:type="dxa"/>
            <w:vAlign w:val="center"/>
          </w:tcPr>
          <w:p w14:paraId="3E621D99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657" w:type="dxa"/>
            <w:vAlign w:val="center"/>
          </w:tcPr>
          <w:p w14:paraId="55165F42">
            <w:pPr>
              <w:spacing w:line="240" w:lineRule="auto"/>
              <w:contextualSpacing/>
              <w:jc w:val="left"/>
              <w:rPr>
                <w:rStyle w:val="37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37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  <w:lang w:val="en-US" w:eastAsia="zh-CN"/>
              </w:rPr>
              <w:t>浙江省中医药管理局</w:t>
            </w:r>
          </w:p>
        </w:tc>
      </w:tr>
      <w:tr w14:paraId="15CDFD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1849" w:type="dxa"/>
            <w:vAlign w:val="center"/>
          </w:tcPr>
          <w:p w14:paraId="04C35407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657" w:type="dxa"/>
            <w:vAlign w:val="center"/>
          </w:tcPr>
          <w:p w14:paraId="1E872948">
            <w:pPr>
              <w:autoSpaceDE w:val="0"/>
              <w:autoSpaceDN w:val="0"/>
              <w:adjustRightInd w:val="0"/>
              <w:spacing w:line="240" w:lineRule="auto"/>
              <w:ind w:firstLine="480" w:firstLineChars="2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本项目依托浙江省自然科学基金课题支持，聚焦三阴性乳腺癌临床治疗难点，历经十余年系统研究，率先阐明蛇六谷抑制三阴性乳腺癌增殖、侵袭、转移的关键靶基因与核心信号通路，明确其通过调控PI3K/Akt/mTOR等通路发挥抗肿瘤作用，成功筛选OLFML2A等潜在治疗靶点，为三阴性乳腺癌精准治疗提供新方向。</w:t>
            </w:r>
          </w:p>
          <w:p w14:paraId="435F8D50">
            <w:pPr>
              <w:autoSpaceDE w:val="0"/>
              <w:autoSpaceDN w:val="0"/>
              <w:adjustRightInd w:val="0"/>
              <w:spacing w:line="240" w:lineRule="auto"/>
              <w:ind w:firstLine="480" w:firstLineChars="2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/>
              </w:rPr>
            </w:pP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本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项目构建体内外研究模型，从细胞、动物、分子多层级解析中药抗肿瘤机制，形成完整科学证据链。发表高水平论文 8篇，含《Journal of Ethnopharmacology》等TOP 期刊 SCI 论文6篇，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中文期刊2篇，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获授权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国家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实用新型专利1项，构建蛇六谷抗三阴性乳腺癌的理论体系与技术方法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。</w:t>
            </w:r>
          </w:p>
          <w:p w14:paraId="58C2B071">
            <w:pPr>
              <w:autoSpaceDE w:val="0"/>
              <w:autoSpaceDN w:val="0"/>
              <w:adjustRightInd w:val="0"/>
              <w:spacing w:line="240" w:lineRule="auto"/>
              <w:ind w:firstLine="480" w:firstLineChars="2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成果突破中药抗肿瘤作用靶点不清、机制不明的瓶颈，彰显中医药在肿瘤防治中的独特优势，弥补现代医学不足。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本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项目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为临床上中医药防治乳腺癌提供实验依据，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已在湖州市中医院、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东阳市中医院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丽水市中医院、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安吉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中医院、浦江县中医院等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省内</w:t>
            </w:r>
            <w:r>
              <w:rPr>
                <w:rFonts w:hint="eastAsia" w:eastAsia="仿宋" w:cs="Times New Roman"/>
                <w:bCs/>
                <w:sz w:val="24"/>
                <w:szCs w:val="24"/>
                <w:lang w:val="en-US" w:eastAsia="zh-CN"/>
              </w:rPr>
              <w:t>等10余家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医院推广应用，指导临床方案优化，培养硕博研究生、专科骨干十余人，形成稳定研究梯队，产生显著社会效益与学术价值。</w:t>
            </w:r>
          </w:p>
          <w:p w14:paraId="59AD699E">
            <w:pPr>
              <w:autoSpaceDE w:val="0"/>
              <w:autoSpaceDN w:val="0"/>
              <w:adjustRightInd w:val="0"/>
              <w:spacing w:line="240" w:lineRule="auto"/>
              <w:ind w:firstLine="480" w:firstLineChars="200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本成果原创性突出、科学意义重大，整体达国内领先水平，</w:t>
            </w:r>
          </w:p>
          <w:p w14:paraId="1255A2B4">
            <w:pPr>
              <w:spacing w:line="240" w:lineRule="auto"/>
              <w:contextualSpacing/>
              <w:jc w:val="both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提名该成果为省自然科学奖二等奖</w:t>
            </w:r>
          </w:p>
          <w:p w14:paraId="5C9C2C6C">
            <w:pPr>
              <w:spacing w:line="240" w:lineRule="auto"/>
              <w:ind w:firstLine="480" w:firstLineChars="200"/>
              <w:contextualSpacing/>
              <w:jc w:val="both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A937878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5B736D-8115-4422-AB57-17BF12D46E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CB3F39-ECC7-4554-8952-E663BD3459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33659BE-002F-4AEE-BC1F-9A44D36A6C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0C69224-CF2F-49FF-BD83-8D60557DC24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FA9173F-D85A-4DAE-8047-482BF776CFA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B7B7CB7C-77F1-4BF8-B3DF-D9F07E26C5B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17F0292-CDCD-421D-A898-E8433115F520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BE1AC341-6745-4B90-B067-B79B02F2156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CDAD0D5-722D-4C83-B1D7-D3DB0029BED2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5CF5F1C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D4151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F3EAA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88BC1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E5E1A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1E5A3C"/>
    <w:multiLevelType w:val="singleLevel"/>
    <w:tmpl w:val="3C1E5A3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87CDE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B60C6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2FC7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41E8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05345B"/>
    <w:rsid w:val="03171BF9"/>
    <w:rsid w:val="033A18A1"/>
    <w:rsid w:val="04A9605B"/>
    <w:rsid w:val="055A30A8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BC7A58"/>
    <w:rsid w:val="18FC4FBA"/>
    <w:rsid w:val="190768CF"/>
    <w:rsid w:val="19616A32"/>
    <w:rsid w:val="19AF3334"/>
    <w:rsid w:val="19F5075E"/>
    <w:rsid w:val="1AAB4A91"/>
    <w:rsid w:val="1AD27C6F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2A4FBA"/>
    <w:rsid w:val="2B5E4340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0055B75"/>
    <w:rsid w:val="32C1444F"/>
    <w:rsid w:val="33072028"/>
    <w:rsid w:val="34671B17"/>
    <w:rsid w:val="35236CE8"/>
    <w:rsid w:val="36616294"/>
    <w:rsid w:val="368F078E"/>
    <w:rsid w:val="374F01EB"/>
    <w:rsid w:val="376213FE"/>
    <w:rsid w:val="376D011C"/>
    <w:rsid w:val="376E2676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316D02"/>
    <w:rsid w:val="41F15E70"/>
    <w:rsid w:val="42003016"/>
    <w:rsid w:val="42846579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D622F91"/>
    <w:rsid w:val="4EAD471B"/>
    <w:rsid w:val="50EF43CF"/>
    <w:rsid w:val="535E0F14"/>
    <w:rsid w:val="53D31D87"/>
    <w:rsid w:val="54CB12CB"/>
    <w:rsid w:val="557E53F1"/>
    <w:rsid w:val="561D553B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CB36BF9"/>
    <w:rsid w:val="5D7A3760"/>
    <w:rsid w:val="5F2D2C93"/>
    <w:rsid w:val="5FBF5A6B"/>
    <w:rsid w:val="5FC23025"/>
    <w:rsid w:val="6098413C"/>
    <w:rsid w:val="60E63616"/>
    <w:rsid w:val="60FB2C8B"/>
    <w:rsid w:val="61764D8D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6C13CC1"/>
    <w:rsid w:val="67FA3CBD"/>
    <w:rsid w:val="67FF5FF1"/>
    <w:rsid w:val="686F3A8E"/>
    <w:rsid w:val="688109F0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DC4AE7"/>
    <w:rsid w:val="74FB6D7E"/>
    <w:rsid w:val="74FC1995"/>
    <w:rsid w:val="74FD2CB8"/>
    <w:rsid w:val="75E11C8A"/>
    <w:rsid w:val="75ED062E"/>
    <w:rsid w:val="75FF44DB"/>
    <w:rsid w:val="76413F68"/>
    <w:rsid w:val="765C6DB5"/>
    <w:rsid w:val="76B529FB"/>
    <w:rsid w:val="76D22241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</w:r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4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字符"/>
    <w:basedOn w:val="19"/>
    <w:link w:val="10"/>
    <w:qFormat/>
    <w:uiPriority w:val="0"/>
    <w:rPr>
      <w:sz w:val="18"/>
      <w:szCs w:val="18"/>
    </w:rPr>
  </w:style>
  <w:style w:type="character" w:customStyle="1" w:styleId="27">
    <w:name w:val="页脚 字符"/>
    <w:basedOn w:val="19"/>
    <w:link w:val="9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字符"/>
    <w:basedOn w:val="19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字符"/>
    <w:basedOn w:val="19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字符"/>
    <w:basedOn w:val="19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字符"/>
    <w:basedOn w:val="19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字符"/>
    <w:basedOn w:val="30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1075</Words>
  <Characters>2309</Characters>
  <Lines>2</Lines>
  <Paragraphs>1</Paragraphs>
  <TotalTime>18</TotalTime>
  <ScaleCrop>false</ScaleCrop>
  <LinksUpToDate>false</LinksUpToDate>
  <CharactersWithSpaces>2512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2026-05-14T02:05:00Z</dcterms:created>
  <dc:creator>胡胜链</dc:creator>
  <cp:lastModifiedBy>.</cp:lastModifiedBy>
  <cp:lastPrinted>2026-05-06T11:13:00Z</cp:lastPrinted>
  <dcterms:modified xsi:type="dcterms:W3CDTF">2026-06-03T06:47:24Z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C240F5E580214EF7A800337CC3DDCFCF_13</vt:lpwstr>
  </property>
  <property fmtid="{D5CDD505-2E9C-101B-9397-08002B2CF9AE}" pid="4" name="KSOTemplateDocerSaveRecord">
    <vt:lpwstr>eyJoZGlkIjoiODM1OGMyZGNmYTRlZjdmNzVmMjVlYjMxMmU0MGRhNTkiLCJ1c2VySWQiOiIyMjc2OTYwMTkifQ==</vt:lpwstr>
  </property>
</Properties>
</file>